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page" w:horzAnchor="margin" w:tblpY="2776"/>
        <w:tblW w:w="14454" w:type="dxa"/>
        <w:tblLook w:val="04A0" w:firstRow="1" w:lastRow="0" w:firstColumn="1" w:lastColumn="0" w:noHBand="0" w:noVBand="1"/>
      </w:tblPr>
      <w:tblGrid>
        <w:gridCol w:w="704"/>
        <w:gridCol w:w="5103"/>
        <w:gridCol w:w="5528"/>
        <w:gridCol w:w="1418"/>
        <w:gridCol w:w="1701"/>
      </w:tblGrid>
      <w:tr w:rsidR="0050014C" w:rsidRPr="00804960" w:rsidTr="00804960">
        <w:tc>
          <w:tcPr>
            <w:tcW w:w="704" w:type="dxa"/>
          </w:tcPr>
          <w:p w:rsidR="0050014C" w:rsidRPr="00804960" w:rsidRDefault="0050014C" w:rsidP="0050014C">
            <w:pPr>
              <w:rPr>
                <w:b/>
              </w:rPr>
            </w:pPr>
          </w:p>
        </w:tc>
        <w:tc>
          <w:tcPr>
            <w:tcW w:w="5103" w:type="dxa"/>
          </w:tcPr>
          <w:p w:rsidR="0050014C" w:rsidRPr="00804960" w:rsidRDefault="0050014C" w:rsidP="0050014C">
            <w:pPr>
              <w:rPr>
                <w:b/>
              </w:rPr>
            </w:pPr>
            <w:r w:rsidRPr="00804960">
              <w:rPr>
                <w:b/>
              </w:rPr>
              <w:t>Question</w:t>
            </w:r>
          </w:p>
        </w:tc>
        <w:tc>
          <w:tcPr>
            <w:tcW w:w="5528" w:type="dxa"/>
          </w:tcPr>
          <w:p w:rsidR="0050014C" w:rsidRPr="00804960" w:rsidRDefault="0050014C" w:rsidP="0050014C">
            <w:pPr>
              <w:rPr>
                <w:b/>
              </w:rPr>
            </w:pPr>
            <w:r w:rsidRPr="00804960">
              <w:rPr>
                <w:b/>
              </w:rPr>
              <w:t>Response</w:t>
            </w:r>
          </w:p>
        </w:tc>
        <w:tc>
          <w:tcPr>
            <w:tcW w:w="1418" w:type="dxa"/>
          </w:tcPr>
          <w:p w:rsidR="0050014C" w:rsidRPr="00804960" w:rsidRDefault="0050014C" w:rsidP="0050014C">
            <w:pPr>
              <w:rPr>
                <w:b/>
              </w:rPr>
            </w:pPr>
            <w:r w:rsidRPr="00804960">
              <w:rPr>
                <w:b/>
              </w:rPr>
              <w:t xml:space="preserve">Date Received </w:t>
            </w:r>
          </w:p>
        </w:tc>
        <w:tc>
          <w:tcPr>
            <w:tcW w:w="1701" w:type="dxa"/>
          </w:tcPr>
          <w:p w:rsidR="0050014C" w:rsidRPr="00804960" w:rsidRDefault="0050014C" w:rsidP="0050014C">
            <w:pPr>
              <w:rPr>
                <w:b/>
              </w:rPr>
            </w:pPr>
            <w:r w:rsidRPr="00804960">
              <w:rPr>
                <w:b/>
              </w:rPr>
              <w:t>Date Responded</w:t>
            </w:r>
          </w:p>
        </w:tc>
      </w:tr>
      <w:tr w:rsidR="0050014C" w:rsidTr="00804960">
        <w:trPr>
          <w:trHeight w:val="2113"/>
        </w:trPr>
        <w:tc>
          <w:tcPr>
            <w:tcW w:w="704" w:type="dxa"/>
          </w:tcPr>
          <w:p w:rsidR="0050014C" w:rsidRPr="00804960" w:rsidRDefault="0050014C" w:rsidP="0050014C">
            <w:pPr>
              <w:rPr>
                <w:b/>
              </w:rPr>
            </w:pPr>
            <w:r w:rsidRPr="00804960">
              <w:rPr>
                <w:b/>
              </w:rPr>
              <w:t>1</w:t>
            </w:r>
          </w:p>
        </w:tc>
        <w:tc>
          <w:tcPr>
            <w:tcW w:w="5103" w:type="dxa"/>
          </w:tcPr>
          <w:p w:rsidR="0050014C" w:rsidRDefault="0050014C" w:rsidP="0050014C">
            <w:r>
              <w:t>Should quotes be returned to Sean Parsons as per the RFP form or Lisa Walton as per the specification</w:t>
            </w:r>
          </w:p>
        </w:tc>
        <w:tc>
          <w:tcPr>
            <w:tcW w:w="5528" w:type="dxa"/>
          </w:tcPr>
          <w:p w:rsidR="0050014C" w:rsidRPr="00FD538E" w:rsidRDefault="0050014C" w:rsidP="0050014C">
            <w:pPr>
              <w:rPr>
                <w:strike/>
              </w:rPr>
            </w:pPr>
            <w:r w:rsidRPr="00AE0603">
              <w:rPr>
                <w:b/>
              </w:rPr>
              <w:t>Please return your submission to Sean Parsons</w:t>
            </w:r>
            <w:r w:rsidRPr="00FD538E">
              <w:rPr>
                <w:strike/>
              </w:rPr>
              <w:t xml:space="preserve"> by 16:00 on the 12</w:t>
            </w:r>
            <w:r w:rsidRPr="00FD538E">
              <w:rPr>
                <w:strike/>
                <w:vertAlign w:val="superscript"/>
              </w:rPr>
              <w:t>th</w:t>
            </w:r>
            <w:r w:rsidRPr="00FD538E">
              <w:rPr>
                <w:strike/>
              </w:rPr>
              <w:t xml:space="preserve"> October 2016 in hard copy. </w:t>
            </w:r>
          </w:p>
          <w:p w:rsidR="0050014C" w:rsidRPr="00FD538E" w:rsidRDefault="0050014C" w:rsidP="0050014C">
            <w:pPr>
              <w:rPr>
                <w:strike/>
              </w:rPr>
            </w:pPr>
          </w:p>
          <w:p w:rsidR="0050014C" w:rsidRPr="00FD538E" w:rsidRDefault="0050014C" w:rsidP="0050014C">
            <w:pPr>
              <w:rPr>
                <w:strike/>
              </w:rPr>
            </w:pPr>
            <w:r w:rsidRPr="00FD538E">
              <w:rPr>
                <w:strike/>
              </w:rPr>
              <w:t>Apologies for the confusion – the details in the specification are a hangover from previous version of that document.</w:t>
            </w:r>
          </w:p>
          <w:p w:rsidR="0050014C" w:rsidRDefault="0050014C" w:rsidP="0050014C"/>
          <w:p w:rsidR="00FD538E" w:rsidRPr="00FD538E" w:rsidRDefault="00FD538E" w:rsidP="00AE0603">
            <w:pPr>
              <w:rPr>
                <w:b/>
                <w:color w:val="FF0000"/>
              </w:rPr>
            </w:pPr>
            <w:r>
              <w:rPr>
                <w:b/>
                <w:color w:val="FF0000"/>
              </w:rPr>
              <w:t>UPDATED – The</w:t>
            </w:r>
            <w:r w:rsidR="00AE0603">
              <w:rPr>
                <w:b/>
                <w:color w:val="FF0000"/>
              </w:rPr>
              <w:t xml:space="preserve"> deadline is now </w:t>
            </w:r>
            <w:bookmarkStart w:id="0" w:name="_GoBack"/>
            <w:bookmarkEnd w:id="0"/>
            <w:r>
              <w:rPr>
                <w:b/>
                <w:color w:val="FF0000"/>
              </w:rPr>
              <w:t>16:00 on Friday 14</w:t>
            </w:r>
            <w:r w:rsidRPr="00FD538E">
              <w:rPr>
                <w:b/>
                <w:color w:val="FF0000"/>
                <w:vertAlign w:val="superscript"/>
              </w:rPr>
              <w:t>th</w:t>
            </w:r>
            <w:r>
              <w:rPr>
                <w:b/>
                <w:color w:val="FF0000"/>
              </w:rPr>
              <w:t xml:space="preserve"> October 2016</w:t>
            </w:r>
          </w:p>
        </w:tc>
        <w:tc>
          <w:tcPr>
            <w:tcW w:w="1418" w:type="dxa"/>
          </w:tcPr>
          <w:p w:rsidR="0050014C" w:rsidRDefault="0050014C" w:rsidP="0050014C">
            <w:r>
              <w:t>30/09/16</w:t>
            </w:r>
          </w:p>
        </w:tc>
        <w:tc>
          <w:tcPr>
            <w:tcW w:w="1701" w:type="dxa"/>
          </w:tcPr>
          <w:p w:rsidR="0050014C" w:rsidRDefault="0050014C" w:rsidP="0050014C">
            <w:r>
              <w:t>03/10/16</w:t>
            </w:r>
          </w:p>
          <w:p w:rsidR="00FD538E" w:rsidRDefault="00FD538E" w:rsidP="0050014C"/>
          <w:p w:rsidR="00FD538E" w:rsidRDefault="00FD538E" w:rsidP="0050014C"/>
          <w:p w:rsidR="00FD538E" w:rsidRDefault="00FD538E" w:rsidP="0050014C"/>
          <w:p w:rsidR="00FD538E" w:rsidRDefault="00FD538E" w:rsidP="0050014C"/>
          <w:p w:rsidR="00FD538E" w:rsidRDefault="00FD538E" w:rsidP="0050014C"/>
          <w:p w:rsidR="00FD538E" w:rsidRDefault="00FD538E" w:rsidP="0050014C"/>
          <w:p w:rsidR="00FD538E" w:rsidRDefault="00FD538E" w:rsidP="00FD538E">
            <w:r>
              <w:t>06/10/16</w:t>
            </w:r>
          </w:p>
        </w:tc>
      </w:tr>
      <w:tr w:rsidR="0050014C" w:rsidTr="00804960">
        <w:tc>
          <w:tcPr>
            <w:tcW w:w="704" w:type="dxa"/>
          </w:tcPr>
          <w:p w:rsidR="0050014C" w:rsidRPr="00804960" w:rsidRDefault="00B74202" w:rsidP="0050014C">
            <w:pPr>
              <w:rPr>
                <w:b/>
              </w:rPr>
            </w:pPr>
            <w:r>
              <w:rPr>
                <w:b/>
              </w:rPr>
              <w:t>2</w:t>
            </w:r>
          </w:p>
        </w:tc>
        <w:tc>
          <w:tcPr>
            <w:tcW w:w="5103" w:type="dxa"/>
          </w:tcPr>
          <w:p w:rsidR="0050014C" w:rsidRPr="00B74202" w:rsidRDefault="00B74202" w:rsidP="00B74202">
            <w:pPr>
              <w:ind w:firstLine="34"/>
              <w:rPr>
                <w:rFonts w:eastAsia="Times New Roman"/>
              </w:rPr>
            </w:pPr>
            <w:r>
              <w:rPr>
                <w:rFonts w:eastAsia="Times New Roman"/>
              </w:rPr>
              <w:t>Please could you confirm that DISCON is discharge of condition applications?</w:t>
            </w:r>
          </w:p>
        </w:tc>
        <w:tc>
          <w:tcPr>
            <w:tcW w:w="5528" w:type="dxa"/>
          </w:tcPr>
          <w:p w:rsidR="002B74A5" w:rsidRPr="002B74A5" w:rsidRDefault="002B74A5" w:rsidP="002B74A5">
            <w:pPr>
              <w:ind w:left="34"/>
              <w:rPr>
                <w:rFonts w:eastAsia="Times New Roman"/>
              </w:rPr>
            </w:pPr>
            <w:r w:rsidRPr="002B74A5">
              <w:rPr>
                <w:rFonts w:eastAsia="Times New Roman"/>
              </w:rPr>
              <w:t>Yes – this is Discharge of Conditions application</w:t>
            </w:r>
          </w:p>
          <w:p w:rsidR="0050014C" w:rsidRDefault="0050014C" w:rsidP="0050014C"/>
        </w:tc>
        <w:tc>
          <w:tcPr>
            <w:tcW w:w="1418" w:type="dxa"/>
          </w:tcPr>
          <w:p w:rsidR="0050014C" w:rsidRDefault="00E627C7" w:rsidP="0050014C">
            <w:r>
              <w:t>04/10/16</w:t>
            </w:r>
          </w:p>
        </w:tc>
        <w:tc>
          <w:tcPr>
            <w:tcW w:w="1701" w:type="dxa"/>
          </w:tcPr>
          <w:p w:rsidR="0050014C" w:rsidRDefault="00E627C7" w:rsidP="0050014C">
            <w:r>
              <w:t>06/10/16</w:t>
            </w:r>
          </w:p>
        </w:tc>
      </w:tr>
      <w:tr w:rsidR="00E627C7" w:rsidTr="00804960">
        <w:tc>
          <w:tcPr>
            <w:tcW w:w="704" w:type="dxa"/>
          </w:tcPr>
          <w:p w:rsidR="00E627C7" w:rsidRPr="00804960" w:rsidRDefault="00E627C7" w:rsidP="00E627C7">
            <w:pPr>
              <w:rPr>
                <w:b/>
              </w:rPr>
            </w:pPr>
            <w:r>
              <w:rPr>
                <w:b/>
              </w:rPr>
              <w:t>3</w:t>
            </w:r>
          </w:p>
        </w:tc>
        <w:tc>
          <w:tcPr>
            <w:tcW w:w="5103" w:type="dxa"/>
          </w:tcPr>
          <w:p w:rsidR="00E627C7" w:rsidRDefault="00E627C7" w:rsidP="00E627C7">
            <w:pPr>
              <w:ind w:left="34"/>
              <w:rPr>
                <w:rFonts w:eastAsia="Times New Roman"/>
              </w:rPr>
            </w:pPr>
            <w:r>
              <w:rPr>
                <w:rFonts w:eastAsia="Times New Roman"/>
              </w:rPr>
              <w:t>Please could you confirm the approximate number of major and minor planning applications in 2015 and predicted in 2016?</w:t>
            </w:r>
          </w:p>
          <w:p w:rsidR="00E627C7" w:rsidRDefault="00E627C7" w:rsidP="00E627C7"/>
        </w:tc>
        <w:tc>
          <w:tcPr>
            <w:tcW w:w="5528" w:type="dxa"/>
          </w:tcPr>
          <w:p w:rsidR="00E627C7" w:rsidRPr="002B74A5" w:rsidRDefault="00E627C7" w:rsidP="00E627C7">
            <w:pPr>
              <w:ind w:left="34"/>
              <w:rPr>
                <w:rFonts w:eastAsia="Times New Roman"/>
              </w:rPr>
            </w:pPr>
            <w:r w:rsidRPr="002B74A5">
              <w:rPr>
                <w:rFonts w:eastAsia="Times New Roman"/>
              </w:rPr>
              <w:t xml:space="preserve">Major 2015 </w:t>
            </w:r>
            <w:r>
              <w:rPr>
                <w:rFonts w:eastAsia="Times New Roman"/>
              </w:rPr>
              <w:t>- 1</w:t>
            </w:r>
            <w:r w:rsidRPr="002B74A5">
              <w:rPr>
                <w:rFonts w:eastAsia="Times New Roman"/>
              </w:rPr>
              <w:t xml:space="preserve"> </w:t>
            </w:r>
          </w:p>
          <w:p w:rsidR="00E627C7" w:rsidRDefault="00E627C7" w:rsidP="00E627C7">
            <w:pPr>
              <w:ind w:left="34"/>
              <w:rPr>
                <w:rFonts w:eastAsia="Times New Roman"/>
              </w:rPr>
            </w:pPr>
          </w:p>
          <w:p w:rsidR="00E627C7" w:rsidRPr="002B74A5" w:rsidRDefault="00E627C7" w:rsidP="00E627C7">
            <w:pPr>
              <w:ind w:left="34"/>
              <w:rPr>
                <w:rFonts w:eastAsia="Times New Roman"/>
              </w:rPr>
            </w:pPr>
            <w:r w:rsidRPr="002B74A5">
              <w:rPr>
                <w:rFonts w:eastAsia="Times New Roman"/>
              </w:rPr>
              <w:t xml:space="preserve">Majors 2016 </w:t>
            </w:r>
            <w:r>
              <w:rPr>
                <w:rFonts w:eastAsia="Times New Roman"/>
              </w:rPr>
              <w:t>– 0 (</w:t>
            </w:r>
            <w:r w:rsidRPr="002B74A5">
              <w:rPr>
                <w:rFonts w:eastAsia="Times New Roman"/>
              </w:rPr>
              <w:t xml:space="preserve">no more expected) </w:t>
            </w:r>
          </w:p>
          <w:p w:rsidR="00E627C7" w:rsidRDefault="00E627C7" w:rsidP="00E627C7">
            <w:pPr>
              <w:ind w:left="34"/>
              <w:rPr>
                <w:rFonts w:eastAsia="Times New Roman"/>
              </w:rPr>
            </w:pPr>
          </w:p>
          <w:p w:rsidR="00E627C7" w:rsidRPr="002B74A5" w:rsidRDefault="00E627C7" w:rsidP="00E627C7">
            <w:pPr>
              <w:ind w:left="34"/>
              <w:rPr>
                <w:rFonts w:eastAsia="Times New Roman"/>
              </w:rPr>
            </w:pPr>
            <w:r w:rsidRPr="002B74A5">
              <w:rPr>
                <w:rFonts w:eastAsia="Times New Roman"/>
              </w:rPr>
              <w:t xml:space="preserve">Total (including </w:t>
            </w:r>
            <w:proofErr w:type="spellStart"/>
            <w:r w:rsidRPr="002B74A5">
              <w:rPr>
                <w:rFonts w:eastAsia="Times New Roman"/>
              </w:rPr>
              <w:t>discons</w:t>
            </w:r>
            <w:proofErr w:type="spellEnd"/>
            <w:r w:rsidRPr="002B74A5">
              <w:rPr>
                <w:rFonts w:eastAsia="Times New Roman"/>
              </w:rPr>
              <w:t xml:space="preserve"> and minor amendment applications) 2015 (110) </w:t>
            </w:r>
          </w:p>
          <w:p w:rsidR="00E627C7" w:rsidRDefault="00E627C7" w:rsidP="00E627C7">
            <w:pPr>
              <w:ind w:left="34"/>
              <w:rPr>
                <w:rFonts w:eastAsia="Times New Roman"/>
              </w:rPr>
            </w:pPr>
          </w:p>
          <w:p w:rsidR="00E627C7" w:rsidRPr="002B74A5" w:rsidRDefault="00E627C7" w:rsidP="00E627C7">
            <w:pPr>
              <w:ind w:left="34"/>
              <w:rPr>
                <w:rFonts w:eastAsia="Times New Roman"/>
              </w:rPr>
            </w:pPr>
            <w:r w:rsidRPr="002B74A5">
              <w:rPr>
                <w:rFonts w:eastAsia="Times New Roman"/>
              </w:rPr>
              <w:t>Total 2016 (102) we expect to be up to around 120-130 by the end of the year – this does include tree works applications (figures below)</w:t>
            </w:r>
          </w:p>
          <w:p w:rsidR="00E627C7" w:rsidRDefault="00E627C7" w:rsidP="00E627C7"/>
        </w:tc>
        <w:tc>
          <w:tcPr>
            <w:tcW w:w="1418" w:type="dxa"/>
          </w:tcPr>
          <w:p w:rsidR="00E627C7" w:rsidRDefault="00E627C7" w:rsidP="00E627C7">
            <w:r>
              <w:t>04/10/16</w:t>
            </w:r>
          </w:p>
        </w:tc>
        <w:tc>
          <w:tcPr>
            <w:tcW w:w="1701" w:type="dxa"/>
          </w:tcPr>
          <w:p w:rsidR="00E627C7" w:rsidRDefault="00E627C7" w:rsidP="00E627C7">
            <w:r>
              <w:t>06/10/16</w:t>
            </w:r>
          </w:p>
        </w:tc>
      </w:tr>
      <w:tr w:rsidR="00E627C7" w:rsidTr="00804960">
        <w:tc>
          <w:tcPr>
            <w:tcW w:w="704" w:type="dxa"/>
          </w:tcPr>
          <w:p w:rsidR="00E627C7" w:rsidRPr="00804960" w:rsidRDefault="00E627C7" w:rsidP="00E627C7">
            <w:pPr>
              <w:rPr>
                <w:b/>
              </w:rPr>
            </w:pPr>
            <w:r>
              <w:rPr>
                <w:b/>
              </w:rPr>
              <w:t>4</w:t>
            </w:r>
          </w:p>
        </w:tc>
        <w:tc>
          <w:tcPr>
            <w:tcW w:w="5103" w:type="dxa"/>
          </w:tcPr>
          <w:p w:rsidR="00E627C7" w:rsidRDefault="00E627C7" w:rsidP="00E627C7">
            <w:pPr>
              <w:ind w:left="34"/>
              <w:rPr>
                <w:rFonts w:eastAsia="Times New Roman"/>
              </w:rPr>
            </w:pPr>
            <w:r>
              <w:rPr>
                <w:rFonts w:eastAsia="Times New Roman"/>
              </w:rPr>
              <w:t>Please could you confirm if any of the applications in 2015 and predicted in 2016 constitute EIA development? If yes how many?</w:t>
            </w:r>
          </w:p>
          <w:p w:rsidR="00E627C7" w:rsidRDefault="00E627C7" w:rsidP="00E627C7"/>
        </w:tc>
        <w:tc>
          <w:tcPr>
            <w:tcW w:w="5528" w:type="dxa"/>
          </w:tcPr>
          <w:p w:rsidR="00E627C7" w:rsidRPr="002B74A5" w:rsidRDefault="00E627C7" w:rsidP="00E627C7">
            <w:pPr>
              <w:rPr>
                <w:rFonts w:eastAsia="Times New Roman"/>
              </w:rPr>
            </w:pPr>
            <w:r w:rsidRPr="002B74A5">
              <w:rPr>
                <w:rFonts w:eastAsia="Times New Roman"/>
              </w:rPr>
              <w:t>EIA Development 2015 (0), 2016 (0) we screen all applications as standard when they come in.</w:t>
            </w:r>
          </w:p>
          <w:p w:rsidR="00E627C7" w:rsidRDefault="00E627C7" w:rsidP="00E627C7"/>
        </w:tc>
        <w:tc>
          <w:tcPr>
            <w:tcW w:w="1418" w:type="dxa"/>
          </w:tcPr>
          <w:p w:rsidR="00E627C7" w:rsidRDefault="00E627C7" w:rsidP="00E627C7">
            <w:r>
              <w:t>04/10/16</w:t>
            </w:r>
          </w:p>
        </w:tc>
        <w:tc>
          <w:tcPr>
            <w:tcW w:w="1701" w:type="dxa"/>
          </w:tcPr>
          <w:p w:rsidR="00E627C7" w:rsidRDefault="00E627C7" w:rsidP="00E627C7">
            <w:r>
              <w:t>06/10/16</w:t>
            </w:r>
          </w:p>
        </w:tc>
      </w:tr>
      <w:tr w:rsidR="00E627C7" w:rsidTr="00804960">
        <w:tc>
          <w:tcPr>
            <w:tcW w:w="704" w:type="dxa"/>
          </w:tcPr>
          <w:p w:rsidR="00E627C7" w:rsidRPr="00804960" w:rsidRDefault="00E627C7" w:rsidP="00E627C7">
            <w:pPr>
              <w:rPr>
                <w:b/>
              </w:rPr>
            </w:pPr>
            <w:r>
              <w:rPr>
                <w:b/>
              </w:rPr>
              <w:lastRenderedPageBreak/>
              <w:t>5</w:t>
            </w:r>
          </w:p>
        </w:tc>
        <w:tc>
          <w:tcPr>
            <w:tcW w:w="5103" w:type="dxa"/>
          </w:tcPr>
          <w:p w:rsidR="00E627C7" w:rsidRDefault="00E627C7" w:rsidP="00E627C7">
            <w:pPr>
              <w:ind w:left="34"/>
              <w:rPr>
                <w:rFonts w:eastAsia="Times New Roman"/>
              </w:rPr>
            </w:pPr>
            <w:r>
              <w:rPr>
                <w:rFonts w:eastAsia="Times New Roman"/>
              </w:rPr>
              <w:t>Does the contract include assessment of EIA Screening and Scoping Opinions?  If so please could you advice approximately how many the authority has dealt with in 2015 and predicted in 2016?</w:t>
            </w:r>
          </w:p>
          <w:p w:rsidR="00E627C7" w:rsidRDefault="00E627C7" w:rsidP="00E627C7"/>
        </w:tc>
        <w:tc>
          <w:tcPr>
            <w:tcW w:w="5528" w:type="dxa"/>
          </w:tcPr>
          <w:p w:rsidR="00E627C7" w:rsidRDefault="00E627C7" w:rsidP="00E627C7">
            <w:r w:rsidRPr="002B74A5">
              <w:rPr>
                <w:rFonts w:eastAsia="Times New Roman"/>
              </w:rPr>
              <w:t>Yes we would expect this work to be done.  We had no Screening Opinion Requests in 2015, we had 1 EIA Screening Opinion Request in 2016.  There will potentially be more screening opinions/scoping opinions in 2017 as we may receive applications for Sea Defence improvements, which we’ve advised them to obtain a Screening Opinion and its likely some of the work will be EIA Development.  There is likely to potentially be 5-</w:t>
            </w:r>
            <w:proofErr w:type="gramStart"/>
            <w:r w:rsidRPr="002B74A5">
              <w:rPr>
                <w:rFonts w:eastAsia="Times New Roman"/>
              </w:rPr>
              <w:t>6  EIA</w:t>
            </w:r>
            <w:proofErr w:type="gramEnd"/>
            <w:r w:rsidRPr="002B74A5">
              <w:rPr>
                <w:rFonts w:eastAsia="Times New Roman"/>
              </w:rPr>
              <w:t xml:space="preserve"> Screening/Scoping opinions and </w:t>
            </w:r>
            <w:proofErr w:type="spellStart"/>
            <w:r w:rsidRPr="002B74A5">
              <w:rPr>
                <w:rFonts w:eastAsia="Times New Roman"/>
              </w:rPr>
              <w:t>Eia</w:t>
            </w:r>
            <w:proofErr w:type="spellEnd"/>
            <w:r w:rsidRPr="002B74A5">
              <w:rPr>
                <w:rFonts w:eastAsia="Times New Roman"/>
              </w:rPr>
              <w:t xml:space="preserve"> applications.</w:t>
            </w:r>
          </w:p>
        </w:tc>
        <w:tc>
          <w:tcPr>
            <w:tcW w:w="1418" w:type="dxa"/>
          </w:tcPr>
          <w:p w:rsidR="00E627C7" w:rsidRDefault="00E627C7" w:rsidP="00E627C7">
            <w:r>
              <w:t>04/10/16</w:t>
            </w:r>
          </w:p>
        </w:tc>
        <w:tc>
          <w:tcPr>
            <w:tcW w:w="1701" w:type="dxa"/>
          </w:tcPr>
          <w:p w:rsidR="00E627C7" w:rsidRDefault="00E627C7" w:rsidP="00E627C7">
            <w:r>
              <w:t>06/10/16</w:t>
            </w:r>
          </w:p>
        </w:tc>
      </w:tr>
      <w:tr w:rsidR="00E627C7" w:rsidTr="00804960">
        <w:tc>
          <w:tcPr>
            <w:tcW w:w="704" w:type="dxa"/>
          </w:tcPr>
          <w:p w:rsidR="00E627C7" w:rsidRPr="00804960" w:rsidRDefault="00E627C7" w:rsidP="00E627C7">
            <w:pPr>
              <w:rPr>
                <w:b/>
              </w:rPr>
            </w:pPr>
            <w:r>
              <w:rPr>
                <w:b/>
              </w:rPr>
              <w:t>6</w:t>
            </w:r>
          </w:p>
        </w:tc>
        <w:tc>
          <w:tcPr>
            <w:tcW w:w="5103" w:type="dxa"/>
          </w:tcPr>
          <w:p w:rsidR="00E627C7" w:rsidRDefault="00E627C7" w:rsidP="00E627C7">
            <w:pPr>
              <w:ind w:left="34"/>
              <w:rPr>
                <w:rFonts w:eastAsia="Times New Roman"/>
              </w:rPr>
            </w:pPr>
            <w:r>
              <w:rPr>
                <w:rFonts w:eastAsia="Times New Roman"/>
              </w:rPr>
              <w:t>Confirmation that the authority will process all tree works applications and this is not part of the contract?</w:t>
            </w:r>
          </w:p>
          <w:p w:rsidR="00E627C7" w:rsidRDefault="00E627C7" w:rsidP="00E627C7"/>
        </w:tc>
        <w:tc>
          <w:tcPr>
            <w:tcW w:w="5528" w:type="dxa"/>
          </w:tcPr>
          <w:p w:rsidR="00E627C7" w:rsidRPr="002B74A5" w:rsidRDefault="00E627C7" w:rsidP="00E627C7">
            <w:pPr>
              <w:ind w:left="34"/>
              <w:rPr>
                <w:rFonts w:eastAsia="Times New Roman"/>
              </w:rPr>
            </w:pPr>
            <w:r w:rsidRPr="002B74A5">
              <w:rPr>
                <w:rFonts w:eastAsia="Times New Roman"/>
              </w:rPr>
              <w:t>Tree works applications are not part of the contract (we dealt with 10 in 2015 and have dealt with 10 so far this year and we are expecting in a few more)</w:t>
            </w:r>
          </w:p>
          <w:p w:rsidR="00E627C7" w:rsidRPr="002B74A5" w:rsidRDefault="00E627C7" w:rsidP="00E627C7"/>
        </w:tc>
        <w:tc>
          <w:tcPr>
            <w:tcW w:w="1418" w:type="dxa"/>
          </w:tcPr>
          <w:p w:rsidR="00E627C7" w:rsidRDefault="00E627C7" w:rsidP="00E627C7">
            <w:r>
              <w:t>04/10/16</w:t>
            </w:r>
          </w:p>
        </w:tc>
        <w:tc>
          <w:tcPr>
            <w:tcW w:w="1701" w:type="dxa"/>
          </w:tcPr>
          <w:p w:rsidR="00E627C7" w:rsidRDefault="00E627C7" w:rsidP="00E627C7">
            <w:r>
              <w:t>06/10/16</w:t>
            </w:r>
          </w:p>
        </w:tc>
      </w:tr>
      <w:tr w:rsidR="00E627C7" w:rsidTr="00804960">
        <w:tc>
          <w:tcPr>
            <w:tcW w:w="704" w:type="dxa"/>
          </w:tcPr>
          <w:p w:rsidR="00E627C7" w:rsidRPr="00804960" w:rsidRDefault="00E627C7" w:rsidP="00E627C7">
            <w:pPr>
              <w:rPr>
                <w:b/>
              </w:rPr>
            </w:pPr>
            <w:r>
              <w:rPr>
                <w:b/>
              </w:rPr>
              <w:t>7</w:t>
            </w:r>
          </w:p>
        </w:tc>
        <w:tc>
          <w:tcPr>
            <w:tcW w:w="5103" w:type="dxa"/>
          </w:tcPr>
          <w:p w:rsidR="00E627C7" w:rsidRDefault="00E627C7" w:rsidP="00E627C7">
            <w:pPr>
              <w:ind w:left="34"/>
              <w:rPr>
                <w:rFonts w:eastAsia="Times New Roman"/>
              </w:rPr>
            </w:pPr>
            <w:r>
              <w:rPr>
                <w:rFonts w:eastAsia="Times New Roman"/>
              </w:rPr>
              <w:t>Are you able to advise the approximate number of pre-application requests received by the authority?  Does the authority have a formal pre-application advice service where applicants pay a fee for advice?</w:t>
            </w:r>
          </w:p>
          <w:p w:rsidR="00E627C7" w:rsidRDefault="00E627C7" w:rsidP="00E627C7"/>
        </w:tc>
        <w:tc>
          <w:tcPr>
            <w:tcW w:w="5528" w:type="dxa"/>
          </w:tcPr>
          <w:p w:rsidR="00E627C7" w:rsidRPr="002B74A5" w:rsidRDefault="00E627C7" w:rsidP="00E627C7">
            <w:pPr>
              <w:ind w:left="34"/>
              <w:rPr>
                <w:rFonts w:eastAsia="Times New Roman"/>
              </w:rPr>
            </w:pPr>
            <w:r w:rsidRPr="002B74A5">
              <w:rPr>
                <w:rFonts w:eastAsia="Times New Roman"/>
              </w:rPr>
              <w:t>On average around 70 pre-apps over the course of a year (on average).  We do not charge for pre-app</w:t>
            </w:r>
          </w:p>
          <w:p w:rsidR="00E627C7" w:rsidRPr="002B74A5" w:rsidRDefault="00E627C7" w:rsidP="00E627C7"/>
        </w:tc>
        <w:tc>
          <w:tcPr>
            <w:tcW w:w="1418" w:type="dxa"/>
          </w:tcPr>
          <w:p w:rsidR="00E627C7" w:rsidRDefault="00E627C7" w:rsidP="00E627C7">
            <w:r>
              <w:t>04/10/16</w:t>
            </w:r>
          </w:p>
        </w:tc>
        <w:tc>
          <w:tcPr>
            <w:tcW w:w="1701" w:type="dxa"/>
          </w:tcPr>
          <w:p w:rsidR="00E627C7" w:rsidRDefault="00E627C7" w:rsidP="00E627C7">
            <w:r>
              <w:t>06/10/16</w:t>
            </w:r>
          </w:p>
        </w:tc>
      </w:tr>
      <w:tr w:rsidR="00E627C7" w:rsidTr="00804960">
        <w:tc>
          <w:tcPr>
            <w:tcW w:w="704" w:type="dxa"/>
          </w:tcPr>
          <w:p w:rsidR="00E627C7" w:rsidRPr="00804960" w:rsidRDefault="00E627C7" w:rsidP="00E627C7">
            <w:pPr>
              <w:rPr>
                <w:b/>
              </w:rPr>
            </w:pPr>
            <w:r>
              <w:rPr>
                <w:b/>
              </w:rPr>
              <w:t>9</w:t>
            </w:r>
          </w:p>
        </w:tc>
        <w:tc>
          <w:tcPr>
            <w:tcW w:w="5103" w:type="dxa"/>
          </w:tcPr>
          <w:p w:rsidR="00E627C7" w:rsidRDefault="00E627C7" w:rsidP="00E627C7">
            <w:pPr>
              <w:ind w:left="34"/>
              <w:rPr>
                <w:rFonts w:eastAsia="Times New Roman"/>
              </w:rPr>
            </w:pPr>
            <w:r>
              <w:rPr>
                <w:rFonts w:eastAsia="Times New Roman"/>
              </w:rPr>
              <w:t xml:space="preserve">Given the potential difficulties with the guaranteed postal services please could you advise if the submission could be sent electronically to </w:t>
            </w:r>
            <w:hyperlink r:id="rId5" w:history="1">
              <w:r>
                <w:rPr>
                  <w:rStyle w:val="Hyperlink"/>
                  <w:rFonts w:eastAsia="Times New Roman"/>
                </w:rPr>
                <w:t>PSS@scilly.gov.uk</w:t>
              </w:r>
            </w:hyperlink>
            <w:r>
              <w:rPr>
                <w:rFonts w:eastAsia="Times New Roman"/>
              </w:rPr>
              <w:t xml:space="preserve"> with a hard copy to follow?</w:t>
            </w:r>
          </w:p>
          <w:p w:rsidR="00E627C7" w:rsidRDefault="00E627C7" w:rsidP="00E627C7"/>
        </w:tc>
        <w:tc>
          <w:tcPr>
            <w:tcW w:w="5528" w:type="dxa"/>
          </w:tcPr>
          <w:p w:rsidR="00E627C7" w:rsidRDefault="00E627C7" w:rsidP="00E627C7">
            <w:r>
              <w:t xml:space="preserve">The Council of the Isles of Scilly is unable to accept electronic copies for this RFP process. </w:t>
            </w:r>
          </w:p>
          <w:p w:rsidR="00E627C7" w:rsidRDefault="00E627C7" w:rsidP="00E627C7"/>
          <w:p w:rsidR="00E627C7" w:rsidRDefault="00E627C7" w:rsidP="00E627C7">
            <w:r>
              <w:t>Given the possibility of delays in delivery the Council requests that you obtain proof of postage or other delivery mechanism which could be used in the event of postal issues to verify that the proposal was sent insufficient time to allow for delivery in normal weather conditions.</w:t>
            </w:r>
          </w:p>
        </w:tc>
        <w:tc>
          <w:tcPr>
            <w:tcW w:w="1418" w:type="dxa"/>
          </w:tcPr>
          <w:p w:rsidR="00E627C7" w:rsidRDefault="00E627C7" w:rsidP="00E627C7">
            <w:r>
              <w:t>04/10/16</w:t>
            </w:r>
          </w:p>
        </w:tc>
        <w:tc>
          <w:tcPr>
            <w:tcW w:w="1701" w:type="dxa"/>
          </w:tcPr>
          <w:p w:rsidR="00E627C7" w:rsidRDefault="00E627C7" w:rsidP="00E627C7">
            <w:r>
              <w:t>06/10/16</w:t>
            </w:r>
          </w:p>
        </w:tc>
      </w:tr>
      <w:tr w:rsidR="00E627C7" w:rsidTr="00804960">
        <w:tc>
          <w:tcPr>
            <w:tcW w:w="704" w:type="dxa"/>
          </w:tcPr>
          <w:p w:rsidR="00E627C7" w:rsidRPr="00804960" w:rsidRDefault="00E627C7" w:rsidP="00E627C7">
            <w:pPr>
              <w:rPr>
                <w:b/>
              </w:rPr>
            </w:pPr>
          </w:p>
        </w:tc>
        <w:tc>
          <w:tcPr>
            <w:tcW w:w="5103" w:type="dxa"/>
          </w:tcPr>
          <w:p w:rsidR="00E627C7" w:rsidRDefault="00E627C7" w:rsidP="00E627C7"/>
        </w:tc>
        <w:tc>
          <w:tcPr>
            <w:tcW w:w="5528" w:type="dxa"/>
          </w:tcPr>
          <w:p w:rsidR="00E627C7" w:rsidRDefault="00E627C7" w:rsidP="00E627C7"/>
        </w:tc>
        <w:tc>
          <w:tcPr>
            <w:tcW w:w="1418" w:type="dxa"/>
          </w:tcPr>
          <w:p w:rsidR="00E627C7" w:rsidRDefault="00E627C7" w:rsidP="00E627C7"/>
        </w:tc>
        <w:tc>
          <w:tcPr>
            <w:tcW w:w="1701" w:type="dxa"/>
          </w:tcPr>
          <w:p w:rsidR="00E627C7" w:rsidRDefault="00E627C7" w:rsidP="00E627C7"/>
        </w:tc>
      </w:tr>
      <w:tr w:rsidR="00E627C7" w:rsidTr="00804960">
        <w:tc>
          <w:tcPr>
            <w:tcW w:w="704" w:type="dxa"/>
          </w:tcPr>
          <w:p w:rsidR="00E627C7" w:rsidRPr="00804960" w:rsidRDefault="00E627C7" w:rsidP="00E627C7">
            <w:pPr>
              <w:rPr>
                <w:b/>
              </w:rPr>
            </w:pPr>
          </w:p>
        </w:tc>
        <w:tc>
          <w:tcPr>
            <w:tcW w:w="5103" w:type="dxa"/>
          </w:tcPr>
          <w:p w:rsidR="00E627C7" w:rsidRDefault="00E627C7" w:rsidP="00E627C7"/>
        </w:tc>
        <w:tc>
          <w:tcPr>
            <w:tcW w:w="5528" w:type="dxa"/>
          </w:tcPr>
          <w:p w:rsidR="00E627C7" w:rsidRDefault="00E627C7" w:rsidP="00E627C7"/>
        </w:tc>
        <w:tc>
          <w:tcPr>
            <w:tcW w:w="1418" w:type="dxa"/>
          </w:tcPr>
          <w:p w:rsidR="00E627C7" w:rsidRDefault="00E627C7" w:rsidP="00E627C7"/>
        </w:tc>
        <w:tc>
          <w:tcPr>
            <w:tcW w:w="1701" w:type="dxa"/>
          </w:tcPr>
          <w:p w:rsidR="00E627C7" w:rsidRDefault="00E627C7" w:rsidP="00E627C7"/>
        </w:tc>
      </w:tr>
      <w:tr w:rsidR="00E627C7" w:rsidTr="00804960">
        <w:tc>
          <w:tcPr>
            <w:tcW w:w="704" w:type="dxa"/>
          </w:tcPr>
          <w:p w:rsidR="00E627C7" w:rsidRPr="00804960" w:rsidRDefault="00E627C7" w:rsidP="00E627C7">
            <w:pPr>
              <w:rPr>
                <w:b/>
              </w:rPr>
            </w:pPr>
          </w:p>
        </w:tc>
        <w:tc>
          <w:tcPr>
            <w:tcW w:w="5103" w:type="dxa"/>
          </w:tcPr>
          <w:p w:rsidR="00E627C7" w:rsidRDefault="00E627C7" w:rsidP="00E627C7"/>
        </w:tc>
        <w:tc>
          <w:tcPr>
            <w:tcW w:w="5528" w:type="dxa"/>
          </w:tcPr>
          <w:p w:rsidR="00E627C7" w:rsidRDefault="00E627C7" w:rsidP="00E627C7"/>
        </w:tc>
        <w:tc>
          <w:tcPr>
            <w:tcW w:w="1418" w:type="dxa"/>
          </w:tcPr>
          <w:p w:rsidR="00E627C7" w:rsidRDefault="00E627C7" w:rsidP="00E627C7"/>
        </w:tc>
        <w:tc>
          <w:tcPr>
            <w:tcW w:w="1701" w:type="dxa"/>
          </w:tcPr>
          <w:p w:rsidR="00E627C7" w:rsidRDefault="00E627C7" w:rsidP="00E627C7"/>
        </w:tc>
      </w:tr>
    </w:tbl>
    <w:p w:rsidR="00AB3B69" w:rsidRDefault="0050014C">
      <w:pPr>
        <w:rPr>
          <w:sz w:val="32"/>
        </w:rPr>
      </w:pPr>
      <w:r>
        <w:rPr>
          <w:sz w:val="32"/>
        </w:rPr>
        <w:lastRenderedPageBreak/>
        <w:t xml:space="preserve">Clarification </w:t>
      </w:r>
      <w:r w:rsidR="00804960">
        <w:rPr>
          <w:sz w:val="32"/>
        </w:rPr>
        <w:t>Log</w:t>
      </w:r>
      <w:r>
        <w:rPr>
          <w:sz w:val="32"/>
        </w:rPr>
        <w:t>: Planning Support Services</w:t>
      </w:r>
    </w:p>
    <w:p w:rsidR="0050014C" w:rsidRPr="0050014C" w:rsidRDefault="0050014C">
      <w:pPr>
        <w:rPr>
          <w:sz w:val="32"/>
        </w:rPr>
      </w:pPr>
      <w:r>
        <w:rPr>
          <w:sz w:val="32"/>
        </w:rPr>
        <w:t>Contract Ref Number: PSS 160920</w:t>
      </w:r>
    </w:p>
    <w:sectPr w:rsidR="0050014C" w:rsidRPr="0050014C" w:rsidSect="0050014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A564C6"/>
    <w:multiLevelType w:val="hybridMultilevel"/>
    <w:tmpl w:val="AA82C8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6C9F6D86"/>
    <w:multiLevelType w:val="hybridMultilevel"/>
    <w:tmpl w:val="AA82C8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14C"/>
    <w:rsid w:val="002B74A5"/>
    <w:rsid w:val="0050014C"/>
    <w:rsid w:val="006D2822"/>
    <w:rsid w:val="00804960"/>
    <w:rsid w:val="00AB3B69"/>
    <w:rsid w:val="00AE0603"/>
    <w:rsid w:val="00B74202"/>
    <w:rsid w:val="00E627C7"/>
    <w:rsid w:val="00FD53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EDAF97-5D47-4899-AD43-9926D87AD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01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B7420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93965">
      <w:bodyDiv w:val="1"/>
      <w:marLeft w:val="0"/>
      <w:marRight w:val="0"/>
      <w:marTop w:val="0"/>
      <w:marBottom w:val="0"/>
      <w:divBdr>
        <w:top w:val="none" w:sz="0" w:space="0" w:color="auto"/>
        <w:left w:val="none" w:sz="0" w:space="0" w:color="auto"/>
        <w:bottom w:val="none" w:sz="0" w:space="0" w:color="auto"/>
        <w:right w:val="none" w:sz="0" w:space="0" w:color="auto"/>
      </w:divBdr>
    </w:div>
    <w:div w:id="761797379">
      <w:bodyDiv w:val="1"/>
      <w:marLeft w:val="0"/>
      <w:marRight w:val="0"/>
      <w:marTop w:val="0"/>
      <w:marBottom w:val="0"/>
      <w:divBdr>
        <w:top w:val="none" w:sz="0" w:space="0" w:color="auto"/>
        <w:left w:val="none" w:sz="0" w:space="0" w:color="auto"/>
        <w:bottom w:val="none" w:sz="0" w:space="0" w:color="auto"/>
        <w:right w:val="none" w:sz="0" w:space="0" w:color="auto"/>
      </w:divBdr>
    </w:div>
    <w:div w:id="843783032">
      <w:bodyDiv w:val="1"/>
      <w:marLeft w:val="0"/>
      <w:marRight w:val="0"/>
      <w:marTop w:val="0"/>
      <w:marBottom w:val="0"/>
      <w:divBdr>
        <w:top w:val="none" w:sz="0" w:space="0" w:color="auto"/>
        <w:left w:val="none" w:sz="0" w:space="0" w:color="auto"/>
        <w:bottom w:val="none" w:sz="0" w:space="0" w:color="auto"/>
        <w:right w:val="none" w:sz="0" w:space="0" w:color="auto"/>
      </w:divBdr>
    </w:div>
    <w:div w:id="1001736417">
      <w:bodyDiv w:val="1"/>
      <w:marLeft w:val="0"/>
      <w:marRight w:val="0"/>
      <w:marTop w:val="0"/>
      <w:marBottom w:val="0"/>
      <w:divBdr>
        <w:top w:val="none" w:sz="0" w:space="0" w:color="auto"/>
        <w:left w:val="none" w:sz="0" w:space="0" w:color="auto"/>
        <w:bottom w:val="none" w:sz="0" w:space="0" w:color="auto"/>
        <w:right w:val="none" w:sz="0" w:space="0" w:color="auto"/>
      </w:divBdr>
    </w:div>
    <w:div w:id="1438406827">
      <w:bodyDiv w:val="1"/>
      <w:marLeft w:val="0"/>
      <w:marRight w:val="0"/>
      <w:marTop w:val="0"/>
      <w:marBottom w:val="0"/>
      <w:divBdr>
        <w:top w:val="none" w:sz="0" w:space="0" w:color="auto"/>
        <w:left w:val="none" w:sz="0" w:space="0" w:color="auto"/>
        <w:bottom w:val="none" w:sz="0" w:space="0" w:color="auto"/>
        <w:right w:val="none" w:sz="0" w:space="0" w:color="auto"/>
      </w:divBdr>
    </w:div>
    <w:div w:id="194394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SS@scilly.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492</Words>
  <Characters>2808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Council of the Isles of Scilly</Company>
  <LinksUpToDate>false</LinksUpToDate>
  <CharactersWithSpaces>3294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Parsons, Sean</dc:creator>
  <cp:keywords/>
  <dc:description/>
  <cp:lastModifiedBy>Parsons, Sean</cp:lastModifiedBy>
  <cp:revision>5</cp:revision>
  <dcterms:created xsi:type="dcterms:W3CDTF">2016-10-06T10:01:00Z</dcterms:created>
  <dcterms:modified xsi:type="dcterms:W3CDTF">2016-10-06T11:00:00Z</dcterms:modified>
</cp:coreProperties>
</file>