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086"/>
      </w:tblGrid>
      <w:tr w:rsidR="00D46C2A" w:rsidRPr="00FB2CB9" w14:paraId="4DFF4F78" w14:textId="77777777" w:rsidTr="00FB2CB9">
        <w:trPr>
          <w:trHeight w:hRule="exact" w:val="4184"/>
        </w:trPr>
        <w:tc>
          <w:tcPr>
            <w:tcW w:w="4361" w:type="dxa"/>
            <w:tcBorders>
              <w:top w:val="nil"/>
              <w:left w:val="nil"/>
              <w:bottom w:val="nil"/>
              <w:right w:val="nil"/>
            </w:tcBorders>
          </w:tcPr>
          <w:p w14:paraId="7B0BC113" w14:textId="77777777" w:rsidR="00BB53ED" w:rsidRPr="00FB2CB9" w:rsidRDefault="00BB53ED" w:rsidP="00FB2CB9">
            <w:pPr>
              <w:spacing w:before="0" w:after="0" w:line="240" w:lineRule="auto"/>
              <w:rPr>
                <w:rFonts w:asciiTheme="minorHAnsi" w:eastAsiaTheme="minorHAnsi" w:hAnsiTheme="minorHAnsi" w:cstheme="minorBidi"/>
              </w:rPr>
            </w:pPr>
          </w:p>
        </w:tc>
        <w:tc>
          <w:tcPr>
            <w:tcW w:w="5086" w:type="dxa"/>
            <w:tcBorders>
              <w:top w:val="single" w:sz="24" w:space="0" w:color="0193CF"/>
              <w:left w:val="nil"/>
              <w:bottom w:val="single" w:sz="24" w:space="0" w:color="0193CF"/>
              <w:right w:val="nil"/>
            </w:tcBorders>
          </w:tcPr>
          <w:p w14:paraId="0CFB022C" w14:textId="77777777" w:rsidR="00BB53ED" w:rsidRPr="00FB2CB9" w:rsidRDefault="002E5A58" w:rsidP="00FB2CB9">
            <w:pPr>
              <w:spacing w:before="240" w:after="240" w:line="240" w:lineRule="auto"/>
              <w:ind w:left="284" w:right="284"/>
              <w:rPr>
                <w:rFonts w:asciiTheme="minorHAnsi" w:eastAsiaTheme="minorHAnsi" w:hAnsiTheme="minorHAnsi" w:cstheme="minorBidi"/>
                <w:sz w:val="56"/>
                <w:szCs w:val="56"/>
              </w:rPr>
            </w:pPr>
            <w:r>
              <w:rPr>
                <w:rFonts w:asciiTheme="minorHAnsi" w:eastAsiaTheme="minorHAnsi" w:hAnsiTheme="minorHAnsi" w:cstheme="minorBidi"/>
                <w:sz w:val="56"/>
                <w:szCs w:val="56"/>
              </w:rPr>
              <w:t>Environmental Health Enforcement</w:t>
            </w:r>
            <w:r w:rsidR="00E142C5">
              <w:rPr>
                <w:rFonts w:asciiTheme="minorHAnsi" w:eastAsiaTheme="minorHAnsi" w:hAnsiTheme="minorHAnsi" w:cstheme="minorBidi"/>
                <w:sz w:val="56"/>
                <w:szCs w:val="56"/>
              </w:rPr>
              <w:t xml:space="preserve"> and Compliance </w:t>
            </w:r>
            <w:r>
              <w:rPr>
                <w:rFonts w:asciiTheme="minorHAnsi" w:eastAsiaTheme="minorHAnsi" w:hAnsiTheme="minorHAnsi" w:cstheme="minorBidi"/>
                <w:sz w:val="56"/>
                <w:szCs w:val="56"/>
              </w:rPr>
              <w:t xml:space="preserve"> Policy</w:t>
            </w:r>
          </w:p>
          <w:p w14:paraId="148F06A9" w14:textId="77777777" w:rsidR="00BB53ED" w:rsidRPr="00FB2CB9" w:rsidRDefault="00BB53ED" w:rsidP="00FB2CB9">
            <w:pPr>
              <w:spacing w:before="240" w:after="240" w:line="240" w:lineRule="auto"/>
              <w:ind w:left="284" w:right="284"/>
              <w:rPr>
                <w:rFonts w:asciiTheme="minorHAnsi" w:eastAsiaTheme="minorHAnsi" w:hAnsiTheme="minorHAnsi" w:cstheme="minorBidi"/>
                <w:smallCaps/>
                <w:sz w:val="36"/>
                <w:szCs w:val="36"/>
              </w:rPr>
            </w:pPr>
          </w:p>
        </w:tc>
      </w:tr>
      <w:tr w:rsidR="00D46C2A" w:rsidRPr="00FB2CB9" w14:paraId="5817B3F0" w14:textId="77777777" w:rsidTr="00FB2CB9">
        <w:trPr>
          <w:trHeight w:hRule="exact" w:val="2291"/>
        </w:trPr>
        <w:tc>
          <w:tcPr>
            <w:tcW w:w="4361" w:type="dxa"/>
            <w:tcBorders>
              <w:top w:val="nil"/>
              <w:left w:val="nil"/>
              <w:bottom w:val="nil"/>
              <w:right w:val="nil"/>
            </w:tcBorders>
          </w:tcPr>
          <w:p w14:paraId="569892C6" w14:textId="77777777" w:rsidR="00BB53ED" w:rsidRPr="00FB2CB9" w:rsidRDefault="00BB53ED" w:rsidP="00FB2CB9">
            <w:pPr>
              <w:spacing w:before="0" w:after="0" w:line="240" w:lineRule="auto"/>
              <w:rPr>
                <w:rFonts w:asciiTheme="minorHAnsi" w:eastAsiaTheme="minorHAnsi" w:hAnsiTheme="minorHAnsi" w:cstheme="minorBidi"/>
              </w:rPr>
            </w:pPr>
          </w:p>
        </w:tc>
        <w:tc>
          <w:tcPr>
            <w:tcW w:w="5086" w:type="dxa"/>
            <w:tcBorders>
              <w:top w:val="single" w:sz="24" w:space="0" w:color="0193CF"/>
              <w:left w:val="nil"/>
              <w:bottom w:val="single" w:sz="24" w:space="0" w:color="0193CF"/>
              <w:right w:val="nil"/>
            </w:tcBorders>
          </w:tcPr>
          <w:p w14:paraId="36438A26" w14:textId="77777777" w:rsidR="00BB53ED" w:rsidRPr="00FB2CB9" w:rsidRDefault="00400E44" w:rsidP="00FB2CB9">
            <w:pPr>
              <w:spacing w:before="0" w:after="0" w:line="240" w:lineRule="auto"/>
              <w:ind w:left="284" w:right="284"/>
              <w:jc w:val="center"/>
              <w:rPr>
                <w:rFonts w:asciiTheme="minorHAnsi" w:eastAsiaTheme="minorHAnsi" w:hAnsiTheme="minorHAnsi" w:cstheme="minorBidi"/>
              </w:rPr>
            </w:pPr>
            <w:r>
              <w:rPr>
                <w:rFonts w:asciiTheme="minorHAnsi" w:eastAsiaTheme="minorHAnsi" w:hAnsiTheme="minorHAnsi" w:cstheme="minorBidi"/>
                <w:noProof/>
                <w:lang w:val="en-GB" w:eastAsia="en-GB" w:bidi="ar-SA"/>
              </w:rPr>
              <w:drawing>
                <wp:inline distT="0" distB="0" distL="0" distR="0" wp14:anchorId="25885161" wp14:editId="79A6BDB7">
                  <wp:extent cx="2419350" cy="1343025"/>
                  <wp:effectExtent l="19050" t="0" r="0" b="0"/>
                  <wp:docPr id="1" name="Picture 70" descr="Landscape-Blue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Landscape-BlueonWhite"/>
                          <pic:cNvPicPr>
                            <a:picLocks noChangeAspect="1" noChangeArrowheads="1"/>
                          </pic:cNvPicPr>
                        </pic:nvPicPr>
                        <pic:blipFill>
                          <a:blip r:embed="rId8" cstate="print"/>
                          <a:srcRect/>
                          <a:stretch>
                            <a:fillRect/>
                          </a:stretch>
                        </pic:blipFill>
                        <pic:spPr bwMode="auto">
                          <a:xfrm>
                            <a:off x="0" y="0"/>
                            <a:ext cx="2419350" cy="1343025"/>
                          </a:xfrm>
                          <a:prstGeom prst="rect">
                            <a:avLst/>
                          </a:prstGeom>
                          <a:noFill/>
                          <a:ln w="9525">
                            <a:noFill/>
                            <a:miter lim="800000"/>
                            <a:headEnd/>
                            <a:tailEnd/>
                          </a:ln>
                        </pic:spPr>
                      </pic:pic>
                    </a:graphicData>
                  </a:graphic>
                </wp:inline>
              </w:drawing>
            </w:r>
          </w:p>
        </w:tc>
      </w:tr>
      <w:tr w:rsidR="00D46C2A" w:rsidRPr="00FB2CB9" w14:paraId="7E55D8DA" w14:textId="77777777" w:rsidTr="00FB2CB9">
        <w:trPr>
          <w:trHeight w:hRule="exact" w:val="1219"/>
        </w:trPr>
        <w:tc>
          <w:tcPr>
            <w:tcW w:w="4361" w:type="dxa"/>
            <w:tcBorders>
              <w:top w:val="nil"/>
              <w:left w:val="nil"/>
              <w:bottom w:val="nil"/>
              <w:right w:val="nil"/>
            </w:tcBorders>
          </w:tcPr>
          <w:p w14:paraId="205ED9C1" w14:textId="77777777" w:rsidR="00BB53ED" w:rsidRPr="00FB2CB9" w:rsidRDefault="00BB53ED" w:rsidP="00FB2CB9">
            <w:pPr>
              <w:spacing w:before="0" w:after="0" w:line="240" w:lineRule="auto"/>
              <w:rPr>
                <w:rFonts w:asciiTheme="minorHAnsi" w:eastAsiaTheme="minorHAnsi" w:hAnsiTheme="minorHAnsi" w:cstheme="minorBidi"/>
              </w:rPr>
            </w:pPr>
          </w:p>
        </w:tc>
        <w:tc>
          <w:tcPr>
            <w:tcW w:w="5086" w:type="dxa"/>
            <w:tcBorders>
              <w:top w:val="single" w:sz="24" w:space="0" w:color="0193CF"/>
              <w:left w:val="nil"/>
              <w:bottom w:val="single" w:sz="24" w:space="0" w:color="0193CF"/>
              <w:right w:val="nil"/>
            </w:tcBorders>
          </w:tcPr>
          <w:p w14:paraId="71D4733D" w14:textId="5DF91BE9" w:rsidR="00BB53ED" w:rsidRPr="00FB2CB9" w:rsidRDefault="002D0A89" w:rsidP="00EE4094">
            <w:pPr>
              <w:spacing w:before="240" w:after="240" w:line="240" w:lineRule="auto"/>
              <w:ind w:left="284" w:right="284"/>
              <w:rPr>
                <w:rFonts w:asciiTheme="minorHAnsi" w:eastAsiaTheme="minorHAnsi" w:hAnsiTheme="minorHAnsi" w:cstheme="minorBidi"/>
                <w:sz w:val="36"/>
                <w:szCs w:val="36"/>
              </w:rPr>
            </w:pPr>
            <w:r>
              <w:rPr>
                <w:rFonts w:asciiTheme="minorHAnsi" w:eastAsiaTheme="minorHAnsi" w:hAnsiTheme="minorHAnsi" w:cstheme="minorBidi"/>
                <w:sz w:val="36"/>
                <w:szCs w:val="36"/>
              </w:rPr>
              <w:t xml:space="preserve">March </w:t>
            </w:r>
            <w:r w:rsidR="00705123">
              <w:rPr>
                <w:rFonts w:asciiTheme="minorHAnsi" w:eastAsiaTheme="minorHAnsi" w:hAnsiTheme="minorHAnsi" w:cstheme="minorBidi"/>
                <w:sz w:val="36"/>
                <w:szCs w:val="36"/>
              </w:rPr>
              <w:t>201</w:t>
            </w:r>
            <w:r w:rsidR="00EE4094">
              <w:rPr>
                <w:rFonts w:asciiTheme="minorHAnsi" w:eastAsiaTheme="minorHAnsi" w:hAnsiTheme="minorHAnsi" w:cstheme="minorBidi"/>
                <w:sz w:val="36"/>
                <w:szCs w:val="36"/>
              </w:rPr>
              <w:t>8</w:t>
            </w:r>
          </w:p>
        </w:tc>
      </w:tr>
      <w:tr w:rsidR="00D46C2A" w:rsidRPr="00FB2CB9" w14:paraId="18C3FA35" w14:textId="77777777" w:rsidTr="00FB2CB9">
        <w:trPr>
          <w:trHeight w:hRule="exact" w:val="652"/>
        </w:trPr>
        <w:tc>
          <w:tcPr>
            <w:tcW w:w="4361" w:type="dxa"/>
            <w:tcBorders>
              <w:top w:val="nil"/>
              <w:left w:val="nil"/>
              <w:bottom w:val="nil"/>
              <w:right w:val="nil"/>
            </w:tcBorders>
          </w:tcPr>
          <w:p w14:paraId="3E6D2067" w14:textId="77777777" w:rsidR="00BB53ED" w:rsidRPr="00FB2CB9" w:rsidRDefault="00BB53ED" w:rsidP="00FB2CB9">
            <w:pPr>
              <w:spacing w:before="0" w:after="0" w:line="240" w:lineRule="auto"/>
              <w:rPr>
                <w:rFonts w:asciiTheme="minorHAnsi" w:eastAsiaTheme="minorHAnsi" w:hAnsiTheme="minorHAnsi" w:cstheme="minorBidi"/>
              </w:rPr>
            </w:pPr>
          </w:p>
        </w:tc>
        <w:tc>
          <w:tcPr>
            <w:tcW w:w="5086" w:type="dxa"/>
            <w:tcBorders>
              <w:top w:val="single" w:sz="24" w:space="0" w:color="0193CF"/>
              <w:left w:val="nil"/>
              <w:bottom w:val="nil"/>
              <w:right w:val="nil"/>
            </w:tcBorders>
          </w:tcPr>
          <w:p w14:paraId="7B80D6F9" w14:textId="77777777" w:rsidR="00BB53ED" w:rsidRPr="00FB2CB9" w:rsidRDefault="00BB53ED" w:rsidP="00FB2CB9">
            <w:pPr>
              <w:spacing w:before="0" w:after="0" w:line="240" w:lineRule="auto"/>
              <w:rPr>
                <w:rFonts w:asciiTheme="minorHAnsi" w:eastAsiaTheme="minorHAnsi" w:hAnsiTheme="minorHAnsi" w:cstheme="minorBidi"/>
              </w:rPr>
            </w:pPr>
          </w:p>
        </w:tc>
      </w:tr>
      <w:tr w:rsidR="005D6520" w:rsidRPr="00FB2CB9" w14:paraId="56EBD953" w14:textId="77777777" w:rsidTr="00FB2CB9">
        <w:trPr>
          <w:trHeight w:hRule="exact" w:val="5126"/>
        </w:trPr>
        <w:tc>
          <w:tcPr>
            <w:tcW w:w="9447" w:type="dxa"/>
            <w:gridSpan w:val="2"/>
            <w:tcBorders>
              <w:top w:val="nil"/>
              <w:left w:val="nil"/>
              <w:bottom w:val="nil"/>
              <w:right w:val="nil"/>
            </w:tcBorders>
          </w:tcPr>
          <w:p w14:paraId="31627E86" w14:textId="77777777" w:rsidR="005D6520" w:rsidRPr="00FB2CB9" w:rsidRDefault="005D6520" w:rsidP="00FB2CB9">
            <w:pPr>
              <w:spacing w:before="0" w:after="0" w:line="240" w:lineRule="auto"/>
              <w:jc w:val="right"/>
              <w:rPr>
                <w:rFonts w:asciiTheme="minorHAnsi" w:eastAsiaTheme="minorHAnsi" w:hAnsiTheme="minorHAnsi" w:cstheme="minorBidi"/>
              </w:rPr>
            </w:pPr>
          </w:p>
          <w:p w14:paraId="2A9CA828" w14:textId="77777777" w:rsidR="00C719C4" w:rsidRPr="00FB2CB9" w:rsidRDefault="00C719C4" w:rsidP="00FB2CB9">
            <w:pPr>
              <w:spacing w:before="0" w:after="0" w:line="240" w:lineRule="auto"/>
              <w:jc w:val="right"/>
              <w:rPr>
                <w:rFonts w:asciiTheme="minorHAnsi" w:eastAsiaTheme="minorHAnsi" w:hAnsiTheme="minorHAnsi" w:cstheme="minorBidi"/>
              </w:rPr>
            </w:pPr>
          </w:p>
        </w:tc>
      </w:tr>
    </w:tbl>
    <w:p w14:paraId="30FD3A57" w14:textId="77777777" w:rsidR="002E5A58" w:rsidRPr="004E0D60" w:rsidRDefault="002E5A58" w:rsidP="002E5A58"/>
    <w:tbl>
      <w:tblPr>
        <w:tblW w:w="5000" w:type="pct"/>
        <w:tblBorders>
          <w:top w:val="single" w:sz="12" w:space="0" w:color="003366"/>
          <w:left w:val="single" w:sz="12" w:space="0" w:color="003366"/>
          <w:bottom w:val="single" w:sz="12" w:space="0" w:color="003366"/>
          <w:right w:val="single" w:sz="12" w:space="0" w:color="003366"/>
          <w:insideH w:val="single" w:sz="12" w:space="0" w:color="003366"/>
          <w:insideV w:val="single" w:sz="12" w:space="0" w:color="003366"/>
        </w:tblBorders>
        <w:tblLook w:val="01E0" w:firstRow="1" w:lastRow="1" w:firstColumn="1" w:lastColumn="1" w:noHBand="0" w:noVBand="0"/>
      </w:tblPr>
      <w:tblGrid>
        <w:gridCol w:w="1674"/>
        <w:gridCol w:w="1919"/>
        <w:gridCol w:w="2330"/>
        <w:gridCol w:w="3073"/>
      </w:tblGrid>
      <w:tr w:rsidR="002E5A58" w:rsidRPr="00476EE7" w14:paraId="3F7546A8" w14:textId="77777777" w:rsidTr="00FD21E3">
        <w:trPr>
          <w:trHeight w:val="499"/>
        </w:trPr>
        <w:tc>
          <w:tcPr>
            <w:tcW w:w="1695" w:type="dxa"/>
            <w:vAlign w:val="center"/>
          </w:tcPr>
          <w:p w14:paraId="7DB3F8BD" w14:textId="77777777" w:rsidR="002E5A58" w:rsidRPr="00476EE7" w:rsidRDefault="002E5A58" w:rsidP="002E5A58">
            <w:pPr>
              <w:pStyle w:val="NoSpacing"/>
            </w:pPr>
            <w:r w:rsidRPr="00476EE7">
              <w:lastRenderedPageBreak/>
              <w:t>Version</w:t>
            </w:r>
          </w:p>
        </w:tc>
        <w:tc>
          <w:tcPr>
            <w:tcW w:w="1971" w:type="dxa"/>
            <w:vAlign w:val="center"/>
          </w:tcPr>
          <w:p w14:paraId="7C5A6264" w14:textId="77777777" w:rsidR="002E5A58" w:rsidRPr="00476EE7" w:rsidRDefault="002E5A58" w:rsidP="002E5A58">
            <w:pPr>
              <w:pStyle w:val="NoSpacing"/>
            </w:pPr>
          </w:p>
        </w:tc>
        <w:tc>
          <w:tcPr>
            <w:tcW w:w="2388" w:type="dxa"/>
            <w:vAlign w:val="center"/>
          </w:tcPr>
          <w:p w14:paraId="327DA0B9" w14:textId="77777777" w:rsidR="002E5A58" w:rsidRPr="00476EE7" w:rsidRDefault="002E5A58" w:rsidP="002E5A58">
            <w:pPr>
              <w:pStyle w:val="NoSpacing"/>
            </w:pPr>
            <w:r w:rsidRPr="00476EE7">
              <w:t>Approving Committee</w:t>
            </w:r>
          </w:p>
        </w:tc>
        <w:tc>
          <w:tcPr>
            <w:tcW w:w="3188" w:type="dxa"/>
            <w:vAlign w:val="center"/>
          </w:tcPr>
          <w:p w14:paraId="188B9F91" w14:textId="77777777" w:rsidR="002E5A58" w:rsidRPr="00476EE7" w:rsidRDefault="002E5A58" w:rsidP="002E5A58">
            <w:pPr>
              <w:pStyle w:val="NoSpacing"/>
            </w:pPr>
            <w:r>
              <w:t>Full Council</w:t>
            </w:r>
          </w:p>
        </w:tc>
      </w:tr>
      <w:tr w:rsidR="002E5A58" w:rsidRPr="00476EE7" w14:paraId="271A1C43" w14:textId="77777777" w:rsidTr="00FD21E3">
        <w:trPr>
          <w:trHeight w:val="499"/>
        </w:trPr>
        <w:tc>
          <w:tcPr>
            <w:tcW w:w="1695" w:type="dxa"/>
            <w:vAlign w:val="center"/>
          </w:tcPr>
          <w:p w14:paraId="112471BA" w14:textId="77777777" w:rsidR="002E5A58" w:rsidRPr="00476EE7" w:rsidRDefault="002E5A58" w:rsidP="002E5A58">
            <w:pPr>
              <w:pStyle w:val="NoSpacing"/>
            </w:pPr>
            <w:r w:rsidRPr="00476EE7">
              <w:t>Date</w:t>
            </w:r>
          </w:p>
        </w:tc>
        <w:tc>
          <w:tcPr>
            <w:tcW w:w="1971" w:type="dxa"/>
            <w:vAlign w:val="center"/>
          </w:tcPr>
          <w:p w14:paraId="3E2BA61E" w14:textId="77777777" w:rsidR="002E5A58" w:rsidRPr="00476EE7" w:rsidRDefault="002E5A58" w:rsidP="002E5A58">
            <w:pPr>
              <w:pStyle w:val="NoSpacing"/>
            </w:pPr>
          </w:p>
        </w:tc>
        <w:tc>
          <w:tcPr>
            <w:tcW w:w="2388" w:type="dxa"/>
            <w:vAlign w:val="center"/>
          </w:tcPr>
          <w:p w14:paraId="2B90938F" w14:textId="77777777" w:rsidR="002E5A58" w:rsidRPr="00476EE7" w:rsidRDefault="002E5A58" w:rsidP="002E5A58">
            <w:pPr>
              <w:pStyle w:val="NoSpacing"/>
            </w:pPr>
            <w:r w:rsidRPr="00476EE7">
              <w:t>Ratified by Council</w:t>
            </w:r>
          </w:p>
        </w:tc>
        <w:tc>
          <w:tcPr>
            <w:tcW w:w="3188" w:type="dxa"/>
            <w:vAlign w:val="center"/>
          </w:tcPr>
          <w:p w14:paraId="64799370" w14:textId="77777777" w:rsidR="002E5A58" w:rsidRPr="00476EE7" w:rsidRDefault="002E5A58" w:rsidP="002E5A58">
            <w:pPr>
              <w:pStyle w:val="NoSpacing"/>
            </w:pPr>
          </w:p>
        </w:tc>
      </w:tr>
      <w:tr w:rsidR="002E5A58" w:rsidRPr="00476EE7" w14:paraId="24154199" w14:textId="77777777" w:rsidTr="00FD21E3">
        <w:trPr>
          <w:trHeight w:val="321"/>
        </w:trPr>
        <w:tc>
          <w:tcPr>
            <w:tcW w:w="1695" w:type="dxa"/>
            <w:vAlign w:val="center"/>
          </w:tcPr>
          <w:p w14:paraId="2FBAF162" w14:textId="77777777" w:rsidR="002E5A58" w:rsidRPr="00476EE7" w:rsidRDefault="002E5A58" w:rsidP="002E5A58">
            <w:pPr>
              <w:pStyle w:val="NoSpacing"/>
            </w:pPr>
            <w:r w:rsidRPr="00476EE7">
              <w:t>Responsible Officer</w:t>
            </w:r>
          </w:p>
        </w:tc>
        <w:tc>
          <w:tcPr>
            <w:tcW w:w="1971" w:type="dxa"/>
            <w:vAlign w:val="center"/>
          </w:tcPr>
          <w:p w14:paraId="31CB1B89" w14:textId="77777777" w:rsidR="002E5A58" w:rsidRPr="00476EE7" w:rsidRDefault="00EE4094" w:rsidP="002E5A58">
            <w:pPr>
              <w:pStyle w:val="NoSpacing"/>
            </w:pPr>
            <w:r>
              <w:t>Michael Coates</w:t>
            </w:r>
          </w:p>
        </w:tc>
        <w:tc>
          <w:tcPr>
            <w:tcW w:w="2388" w:type="dxa"/>
            <w:vAlign w:val="center"/>
          </w:tcPr>
          <w:p w14:paraId="57EC35ED" w14:textId="77777777" w:rsidR="002E5A58" w:rsidRPr="00476EE7" w:rsidRDefault="002E5A58" w:rsidP="002E5A58">
            <w:pPr>
              <w:pStyle w:val="NoSpacing"/>
            </w:pPr>
            <w:r w:rsidRPr="00476EE7">
              <w:t>Review Date</w:t>
            </w:r>
          </w:p>
        </w:tc>
        <w:tc>
          <w:tcPr>
            <w:tcW w:w="3188" w:type="dxa"/>
            <w:vAlign w:val="center"/>
          </w:tcPr>
          <w:p w14:paraId="1BDDB92A" w14:textId="77777777" w:rsidR="002E5A58" w:rsidRPr="00476EE7" w:rsidRDefault="0021266D" w:rsidP="002E5A58">
            <w:pPr>
              <w:pStyle w:val="NoSpacing"/>
            </w:pPr>
            <w:r>
              <w:t>9/2/18</w:t>
            </w:r>
          </w:p>
        </w:tc>
      </w:tr>
    </w:tbl>
    <w:p w14:paraId="5E824D0B" w14:textId="77777777" w:rsidR="002E5A58" w:rsidRDefault="002E5A58" w:rsidP="002E5A58">
      <w:pPr>
        <w:pStyle w:val="NoSpacing"/>
      </w:pPr>
    </w:p>
    <w:tbl>
      <w:tblPr>
        <w:tblW w:w="5000" w:type="pct"/>
        <w:tblBorders>
          <w:top w:val="single" w:sz="12" w:space="0" w:color="003366"/>
          <w:left w:val="single" w:sz="12" w:space="0" w:color="003366"/>
          <w:bottom w:val="single" w:sz="12" w:space="0" w:color="003366"/>
          <w:right w:val="single" w:sz="12" w:space="0" w:color="003366"/>
          <w:insideH w:val="single" w:sz="12" w:space="0" w:color="003366"/>
          <w:insideV w:val="single" w:sz="12" w:space="0" w:color="003366"/>
        </w:tblBorders>
        <w:tblLook w:val="01E0" w:firstRow="1" w:lastRow="1" w:firstColumn="1" w:lastColumn="1" w:noHBand="0" w:noVBand="0"/>
      </w:tblPr>
      <w:tblGrid>
        <w:gridCol w:w="1462"/>
        <w:gridCol w:w="1952"/>
        <w:gridCol w:w="2421"/>
        <w:gridCol w:w="3161"/>
      </w:tblGrid>
      <w:tr w:rsidR="002E5A58" w:rsidRPr="00476EE7" w14:paraId="711C13C8" w14:textId="77777777" w:rsidTr="00F71FE0">
        <w:trPr>
          <w:trHeight w:val="499"/>
        </w:trPr>
        <w:tc>
          <w:tcPr>
            <w:tcW w:w="8996" w:type="dxa"/>
            <w:gridSpan w:val="4"/>
            <w:shd w:val="clear" w:color="auto" w:fill="548DD4" w:themeFill="text2" w:themeFillTint="99"/>
            <w:vAlign w:val="center"/>
          </w:tcPr>
          <w:p w14:paraId="47D27D41" w14:textId="77777777" w:rsidR="002E5A58" w:rsidRPr="00476EE7" w:rsidRDefault="002E5A58" w:rsidP="002E5A58">
            <w:pPr>
              <w:pStyle w:val="NoSpacing"/>
            </w:pPr>
            <w:bookmarkStart w:id="0" w:name="_Toc417480988"/>
            <w:r w:rsidRPr="00476EE7">
              <w:t>Version History</w:t>
            </w:r>
            <w:bookmarkEnd w:id="0"/>
          </w:p>
        </w:tc>
      </w:tr>
      <w:tr w:rsidR="002E5A58" w:rsidRPr="00476EE7" w14:paraId="5E84FE41" w14:textId="77777777" w:rsidTr="00F71FE0">
        <w:trPr>
          <w:trHeight w:val="399"/>
        </w:trPr>
        <w:tc>
          <w:tcPr>
            <w:tcW w:w="1462" w:type="dxa"/>
            <w:vAlign w:val="center"/>
          </w:tcPr>
          <w:p w14:paraId="5D2FD272" w14:textId="77777777" w:rsidR="002E5A58" w:rsidRPr="00476EE7" w:rsidRDefault="002E5A58" w:rsidP="002E5A58">
            <w:pPr>
              <w:pStyle w:val="NoSpacing"/>
              <w:rPr>
                <w:rFonts w:cs="Arial"/>
                <w:bCs/>
              </w:rPr>
            </w:pPr>
            <w:bookmarkStart w:id="1" w:name="_Toc417480989"/>
            <w:r w:rsidRPr="00476EE7">
              <w:rPr>
                <w:rFonts w:cs="Arial"/>
                <w:bCs/>
              </w:rPr>
              <w:t>Date</w:t>
            </w:r>
            <w:bookmarkEnd w:id="1"/>
          </w:p>
        </w:tc>
        <w:tc>
          <w:tcPr>
            <w:tcW w:w="1952" w:type="dxa"/>
            <w:vAlign w:val="center"/>
          </w:tcPr>
          <w:p w14:paraId="0EA943BF" w14:textId="77777777" w:rsidR="002E5A58" w:rsidRPr="00476EE7" w:rsidRDefault="002E5A58" w:rsidP="002E5A58">
            <w:pPr>
              <w:pStyle w:val="NoSpacing"/>
              <w:rPr>
                <w:rFonts w:cs="Arial"/>
                <w:bCs/>
              </w:rPr>
            </w:pPr>
            <w:bookmarkStart w:id="2" w:name="_Toc417480990"/>
            <w:r w:rsidRPr="00476EE7">
              <w:rPr>
                <w:rFonts w:cs="Arial"/>
                <w:bCs/>
              </w:rPr>
              <w:t>Version</w:t>
            </w:r>
            <w:bookmarkEnd w:id="2"/>
          </w:p>
        </w:tc>
        <w:tc>
          <w:tcPr>
            <w:tcW w:w="2421" w:type="dxa"/>
            <w:vAlign w:val="center"/>
          </w:tcPr>
          <w:p w14:paraId="0E98B22F" w14:textId="77777777" w:rsidR="002E5A58" w:rsidRPr="00476EE7" w:rsidRDefault="002E5A58" w:rsidP="002E5A58">
            <w:pPr>
              <w:pStyle w:val="NoSpacing"/>
              <w:rPr>
                <w:rFonts w:cs="Arial"/>
                <w:bCs/>
              </w:rPr>
            </w:pPr>
            <w:bookmarkStart w:id="3" w:name="_Toc417480991"/>
            <w:r w:rsidRPr="00476EE7">
              <w:rPr>
                <w:rFonts w:cs="Arial"/>
                <w:bCs/>
              </w:rPr>
              <w:t>Author/Editor</w:t>
            </w:r>
            <w:bookmarkEnd w:id="3"/>
          </w:p>
        </w:tc>
        <w:tc>
          <w:tcPr>
            <w:tcW w:w="3161" w:type="dxa"/>
            <w:vAlign w:val="center"/>
          </w:tcPr>
          <w:p w14:paraId="12F8669B" w14:textId="77777777" w:rsidR="002E5A58" w:rsidRPr="00476EE7" w:rsidRDefault="002E5A58" w:rsidP="002E5A58">
            <w:pPr>
              <w:pStyle w:val="NoSpacing"/>
              <w:rPr>
                <w:rFonts w:cs="Arial"/>
                <w:bCs/>
              </w:rPr>
            </w:pPr>
            <w:bookmarkStart w:id="4" w:name="_Toc417480992"/>
            <w:r w:rsidRPr="00476EE7">
              <w:rPr>
                <w:rFonts w:cs="Arial"/>
                <w:bCs/>
              </w:rPr>
              <w:t>Comments</w:t>
            </w:r>
            <w:bookmarkEnd w:id="4"/>
          </w:p>
        </w:tc>
      </w:tr>
      <w:tr w:rsidR="002E5A58" w:rsidRPr="00476EE7" w14:paraId="082D4A01" w14:textId="77777777" w:rsidTr="00F71FE0">
        <w:trPr>
          <w:trHeight w:val="499"/>
        </w:trPr>
        <w:tc>
          <w:tcPr>
            <w:tcW w:w="1462" w:type="dxa"/>
            <w:vAlign w:val="center"/>
          </w:tcPr>
          <w:p w14:paraId="2F1AFB6D" w14:textId="77777777" w:rsidR="002E5A58" w:rsidRPr="00476EE7" w:rsidRDefault="002E5A58" w:rsidP="002E5A58">
            <w:pPr>
              <w:pStyle w:val="NoSpacing"/>
            </w:pPr>
            <w:r>
              <w:t>21/04/2015</w:t>
            </w:r>
          </w:p>
        </w:tc>
        <w:tc>
          <w:tcPr>
            <w:tcW w:w="1952" w:type="dxa"/>
            <w:vAlign w:val="center"/>
          </w:tcPr>
          <w:p w14:paraId="392C4915" w14:textId="77777777" w:rsidR="002E5A58" w:rsidRPr="00476EE7" w:rsidRDefault="002E5A58" w:rsidP="002E5A58">
            <w:pPr>
              <w:pStyle w:val="NoSpacing"/>
            </w:pPr>
            <w:r>
              <w:t>0.1</w:t>
            </w:r>
          </w:p>
        </w:tc>
        <w:tc>
          <w:tcPr>
            <w:tcW w:w="2421" w:type="dxa"/>
            <w:vAlign w:val="center"/>
          </w:tcPr>
          <w:p w14:paraId="72FC8537" w14:textId="77777777" w:rsidR="002E5A58" w:rsidRPr="00476EE7" w:rsidRDefault="002E5A58" w:rsidP="002E5A58">
            <w:pPr>
              <w:pStyle w:val="NoSpacing"/>
            </w:pPr>
            <w:r>
              <w:t>David Currie</w:t>
            </w:r>
          </w:p>
        </w:tc>
        <w:tc>
          <w:tcPr>
            <w:tcW w:w="3161" w:type="dxa"/>
            <w:vAlign w:val="center"/>
          </w:tcPr>
          <w:p w14:paraId="5C8F7FF9" w14:textId="77777777" w:rsidR="002E5A58" w:rsidRPr="00476EE7" w:rsidRDefault="002E5A58" w:rsidP="002E5A58">
            <w:pPr>
              <w:pStyle w:val="NoSpacing"/>
            </w:pPr>
            <w:r>
              <w:t>Initial Policy document</w:t>
            </w:r>
          </w:p>
        </w:tc>
      </w:tr>
      <w:tr w:rsidR="002E5A58" w:rsidRPr="00476EE7" w14:paraId="1824D47C" w14:textId="77777777" w:rsidTr="00F71FE0">
        <w:trPr>
          <w:trHeight w:val="499"/>
        </w:trPr>
        <w:tc>
          <w:tcPr>
            <w:tcW w:w="1462" w:type="dxa"/>
            <w:vAlign w:val="center"/>
          </w:tcPr>
          <w:p w14:paraId="4C7CB3F9" w14:textId="36F49619" w:rsidR="002E5A58" w:rsidRPr="00476EE7" w:rsidRDefault="00EE4094" w:rsidP="002E5A58">
            <w:pPr>
              <w:pStyle w:val="NoSpacing"/>
            </w:pPr>
            <w:r>
              <w:t>9/2/2018</w:t>
            </w:r>
          </w:p>
        </w:tc>
        <w:tc>
          <w:tcPr>
            <w:tcW w:w="1952" w:type="dxa"/>
            <w:vAlign w:val="center"/>
          </w:tcPr>
          <w:p w14:paraId="6711265B" w14:textId="77777777" w:rsidR="002E5A58" w:rsidRPr="00476EE7" w:rsidRDefault="00EE4094" w:rsidP="002E5A58">
            <w:pPr>
              <w:pStyle w:val="NoSpacing"/>
            </w:pPr>
            <w:r>
              <w:t>0.2</w:t>
            </w:r>
          </w:p>
        </w:tc>
        <w:tc>
          <w:tcPr>
            <w:tcW w:w="2421" w:type="dxa"/>
            <w:vAlign w:val="center"/>
          </w:tcPr>
          <w:p w14:paraId="17F9552A" w14:textId="77777777" w:rsidR="002E5A58" w:rsidRPr="00476EE7" w:rsidRDefault="00EE4094" w:rsidP="00EE4094">
            <w:pPr>
              <w:pStyle w:val="NoSpacing"/>
            </w:pPr>
            <w:r>
              <w:t>Michael Coates</w:t>
            </w:r>
          </w:p>
        </w:tc>
        <w:tc>
          <w:tcPr>
            <w:tcW w:w="3161" w:type="dxa"/>
            <w:vAlign w:val="center"/>
          </w:tcPr>
          <w:p w14:paraId="5344F982" w14:textId="086E27F2" w:rsidR="002E5A58" w:rsidRPr="00476EE7" w:rsidRDefault="00EE4094" w:rsidP="004C5FEC">
            <w:pPr>
              <w:pStyle w:val="NoSpacing"/>
            </w:pPr>
            <w:r>
              <w:t xml:space="preserve">Revision of policy </w:t>
            </w:r>
          </w:p>
        </w:tc>
      </w:tr>
      <w:tr w:rsidR="002E5A58" w:rsidRPr="00476EE7" w14:paraId="33E6B69C" w14:textId="77777777" w:rsidTr="00F71FE0">
        <w:trPr>
          <w:trHeight w:val="499"/>
        </w:trPr>
        <w:tc>
          <w:tcPr>
            <w:tcW w:w="1462" w:type="dxa"/>
            <w:vAlign w:val="center"/>
          </w:tcPr>
          <w:p w14:paraId="57F84DDF" w14:textId="58DD1BED" w:rsidR="002E5A58" w:rsidRPr="00476EE7" w:rsidRDefault="004C5FEC" w:rsidP="002E5A58">
            <w:pPr>
              <w:pStyle w:val="NoSpacing"/>
            </w:pPr>
            <w:r>
              <w:t>06/03/18</w:t>
            </w:r>
          </w:p>
        </w:tc>
        <w:tc>
          <w:tcPr>
            <w:tcW w:w="1952" w:type="dxa"/>
            <w:vAlign w:val="center"/>
          </w:tcPr>
          <w:p w14:paraId="6BD04005" w14:textId="57D452A1" w:rsidR="002E5A58" w:rsidRPr="00476EE7" w:rsidRDefault="004C5FEC" w:rsidP="002E5A58">
            <w:pPr>
              <w:pStyle w:val="NoSpacing"/>
            </w:pPr>
            <w:r>
              <w:t>0</w:t>
            </w:r>
            <w:r w:rsidR="00B77063">
              <w:t>.3</w:t>
            </w:r>
          </w:p>
        </w:tc>
        <w:tc>
          <w:tcPr>
            <w:tcW w:w="2421" w:type="dxa"/>
            <w:vAlign w:val="center"/>
          </w:tcPr>
          <w:p w14:paraId="2F35021E" w14:textId="2B22E169" w:rsidR="002E5A58" w:rsidRPr="00476EE7" w:rsidRDefault="004C5FEC" w:rsidP="002E5A58">
            <w:pPr>
              <w:pStyle w:val="NoSpacing"/>
            </w:pPr>
            <w:r>
              <w:t>Nicola Stinson</w:t>
            </w:r>
          </w:p>
        </w:tc>
        <w:tc>
          <w:tcPr>
            <w:tcW w:w="3161" w:type="dxa"/>
            <w:vAlign w:val="center"/>
          </w:tcPr>
          <w:p w14:paraId="1F9F0DF2" w14:textId="428CE2E8" w:rsidR="002E5A58" w:rsidRPr="00476EE7" w:rsidRDefault="004C5FEC" w:rsidP="002E5A58">
            <w:pPr>
              <w:pStyle w:val="NoSpacing"/>
            </w:pPr>
            <w:r>
              <w:t>Contact details updated</w:t>
            </w:r>
          </w:p>
        </w:tc>
      </w:tr>
      <w:tr w:rsidR="007028FE" w:rsidRPr="00476EE7" w14:paraId="642D5A28" w14:textId="77777777" w:rsidTr="00F71FE0">
        <w:trPr>
          <w:trHeight w:val="499"/>
        </w:trPr>
        <w:tc>
          <w:tcPr>
            <w:tcW w:w="1462" w:type="dxa"/>
            <w:vAlign w:val="center"/>
          </w:tcPr>
          <w:p w14:paraId="63B2DEB3" w14:textId="1C4FD263" w:rsidR="007028FE" w:rsidRDefault="007028FE" w:rsidP="002E5A58">
            <w:pPr>
              <w:pStyle w:val="NoSpacing"/>
            </w:pPr>
            <w:r>
              <w:t>12/3/18</w:t>
            </w:r>
          </w:p>
        </w:tc>
        <w:tc>
          <w:tcPr>
            <w:tcW w:w="1952" w:type="dxa"/>
            <w:vAlign w:val="center"/>
          </w:tcPr>
          <w:p w14:paraId="601658DC" w14:textId="1EC0266A" w:rsidR="007028FE" w:rsidRDefault="00B77063" w:rsidP="002E5A58">
            <w:pPr>
              <w:pStyle w:val="NoSpacing"/>
            </w:pPr>
            <w:r>
              <w:t>0.4</w:t>
            </w:r>
          </w:p>
        </w:tc>
        <w:tc>
          <w:tcPr>
            <w:tcW w:w="2421" w:type="dxa"/>
            <w:vAlign w:val="center"/>
          </w:tcPr>
          <w:p w14:paraId="545BD5F9" w14:textId="3A96B444" w:rsidR="007028FE" w:rsidRDefault="007028FE" w:rsidP="002E5A58">
            <w:pPr>
              <w:pStyle w:val="NoSpacing"/>
            </w:pPr>
            <w:r>
              <w:t>Michael Coates</w:t>
            </w:r>
          </w:p>
        </w:tc>
        <w:tc>
          <w:tcPr>
            <w:tcW w:w="3161" w:type="dxa"/>
            <w:vAlign w:val="center"/>
          </w:tcPr>
          <w:p w14:paraId="622C9A6E" w14:textId="20D90BB4" w:rsidR="007028FE" w:rsidRDefault="007028FE" w:rsidP="002E5A58">
            <w:pPr>
              <w:pStyle w:val="NoSpacing"/>
            </w:pPr>
            <w:r>
              <w:t>Final amendments</w:t>
            </w:r>
          </w:p>
        </w:tc>
      </w:tr>
    </w:tbl>
    <w:p w14:paraId="6859CED4" w14:textId="77777777" w:rsidR="002E5A58" w:rsidRDefault="002E5A58" w:rsidP="002E5A58">
      <w:pPr>
        <w:pStyle w:val="NoSpacing"/>
      </w:pPr>
    </w:p>
    <w:p w14:paraId="5860923A" w14:textId="77777777" w:rsidR="002E5A58" w:rsidRPr="008B292D" w:rsidRDefault="002E5A58" w:rsidP="002E5A58">
      <w:pPr>
        <w:pStyle w:val="NoSpacing"/>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98"/>
        <w:gridCol w:w="1498"/>
        <w:gridCol w:w="1499"/>
        <w:gridCol w:w="1499"/>
        <w:gridCol w:w="1501"/>
        <w:gridCol w:w="1501"/>
      </w:tblGrid>
      <w:tr w:rsidR="002E5A58" w:rsidRPr="00476EE7" w14:paraId="420D20F7" w14:textId="77777777" w:rsidTr="00600DA2">
        <w:tc>
          <w:tcPr>
            <w:tcW w:w="5000" w:type="pct"/>
            <w:gridSpan w:val="6"/>
            <w:tcBorders>
              <w:top w:val="single" w:sz="12" w:space="0" w:color="auto"/>
              <w:left w:val="single" w:sz="12" w:space="0" w:color="auto"/>
              <w:bottom w:val="single" w:sz="12" w:space="0" w:color="auto"/>
              <w:right w:val="single" w:sz="12" w:space="0" w:color="auto"/>
            </w:tcBorders>
            <w:shd w:val="clear" w:color="auto" w:fill="548DD4" w:themeFill="text2" w:themeFillTint="99"/>
          </w:tcPr>
          <w:p w14:paraId="0BD6948A" w14:textId="77777777" w:rsidR="002E5A58" w:rsidRPr="00476EE7" w:rsidRDefault="002E5A58" w:rsidP="002E5A58">
            <w:pPr>
              <w:pStyle w:val="NoSpacing"/>
            </w:pPr>
            <w:bookmarkStart w:id="5" w:name="_Toc417480993"/>
            <w:r w:rsidRPr="00476EE7">
              <w:t>Equalities Impact Assessment Record</w:t>
            </w:r>
            <w:bookmarkEnd w:id="5"/>
          </w:p>
        </w:tc>
      </w:tr>
      <w:tr w:rsidR="002E5A58" w:rsidRPr="00476EE7" w14:paraId="20C76412" w14:textId="77777777" w:rsidTr="00FD21E3">
        <w:tc>
          <w:tcPr>
            <w:tcW w:w="833" w:type="pct"/>
            <w:tcBorders>
              <w:top w:val="single" w:sz="12" w:space="0" w:color="auto"/>
              <w:left w:val="single" w:sz="12" w:space="0" w:color="auto"/>
              <w:bottom w:val="single" w:sz="12" w:space="0" w:color="auto"/>
              <w:right w:val="single" w:sz="12" w:space="0" w:color="auto"/>
            </w:tcBorders>
          </w:tcPr>
          <w:p w14:paraId="0CB66B5E" w14:textId="77777777" w:rsidR="002E5A58" w:rsidRPr="00400E44" w:rsidRDefault="002E5A58" w:rsidP="002E5A58">
            <w:pPr>
              <w:pStyle w:val="NoSpacing"/>
              <w:rPr>
                <w:szCs w:val="22"/>
              </w:rPr>
            </w:pPr>
            <w:r w:rsidRPr="00400E44">
              <w:rPr>
                <w:szCs w:val="22"/>
              </w:rPr>
              <w:t>Date</w:t>
            </w:r>
          </w:p>
        </w:tc>
        <w:tc>
          <w:tcPr>
            <w:tcW w:w="833" w:type="pct"/>
            <w:tcBorders>
              <w:top w:val="single" w:sz="12" w:space="0" w:color="auto"/>
              <w:left w:val="single" w:sz="12" w:space="0" w:color="auto"/>
              <w:bottom w:val="single" w:sz="12" w:space="0" w:color="auto"/>
              <w:right w:val="single" w:sz="12" w:space="0" w:color="auto"/>
            </w:tcBorders>
          </w:tcPr>
          <w:p w14:paraId="4D419B23" w14:textId="77777777" w:rsidR="002E5A58" w:rsidRPr="00400E44" w:rsidRDefault="002E5A58" w:rsidP="002E5A58">
            <w:pPr>
              <w:pStyle w:val="NoSpacing"/>
              <w:rPr>
                <w:szCs w:val="22"/>
              </w:rPr>
            </w:pPr>
            <w:r w:rsidRPr="00400E44">
              <w:rPr>
                <w:szCs w:val="22"/>
              </w:rPr>
              <w:t>Type of Assessment Conducted</w:t>
            </w:r>
          </w:p>
        </w:tc>
        <w:tc>
          <w:tcPr>
            <w:tcW w:w="833" w:type="pct"/>
            <w:tcBorders>
              <w:top w:val="single" w:sz="12" w:space="0" w:color="auto"/>
              <w:left w:val="single" w:sz="12" w:space="0" w:color="auto"/>
              <w:bottom w:val="single" w:sz="12" w:space="0" w:color="auto"/>
              <w:right w:val="single" w:sz="12" w:space="0" w:color="auto"/>
            </w:tcBorders>
          </w:tcPr>
          <w:p w14:paraId="68E96B13" w14:textId="77777777" w:rsidR="002E5A58" w:rsidRPr="00400E44" w:rsidRDefault="002E5A58" w:rsidP="002E5A58">
            <w:pPr>
              <w:pStyle w:val="NoSpacing"/>
              <w:rPr>
                <w:szCs w:val="22"/>
              </w:rPr>
            </w:pPr>
            <w:r w:rsidRPr="00400E44">
              <w:rPr>
                <w:szCs w:val="22"/>
              </w:rPr>
              <w:t>Stage/Level completed (where applicable)</w:t>
            </w:r>
          </w:p>
        </w:tc>
        <w:tc>
          <w:tcPr>
            <w:tcW w:w="833" w:type="pct"/>
            <w:tcBorders>
              <w:top w:val="single" w:sz="12" w:space="0" w:color="auto"/>
              <w:left w:val="single" w:sz="12" w:space="0" w:color="auto"/>
              <w:bottom w:val="single" w:sz="12" w:space="0" w:color="auto"/>
              <w:right w:val="single" w:sz="12" w:space="0" w:color="auto"/>
            </w:tcBorders>
          </w:tcPr>
          <w:p w14:paraId="5DBD9E2E" w14:textId="77777777" w:rsidR="002E5A58" w:rsidRPr="00400E44" w:rsidRDefault="002E5A58" w:rsidP="002E5A58">
            <w:pPr>
              <w:pStyle w:val="NoSpacing"/>
              <w:rPr>
                <w:szCs w:val="22"/>
              </w:rPr>
            </w:pPr>
            <w:r w:rsidRPr="00400E44">
              <w:rPr>
                <w:szCs w:val="22"/>
              </w:rPr>
              <w:t>Summary of Actions Taken</w:t>
            </w:r>
          </w:p>
          <w:p w14:paraId="4E6A223A" w14:textId="77777777" w:rsidR="002E5A58" w:rsidRPr="00400E44" w:rsidRDefault="002E5A58" w:rsidP="002E5A58">
            <w:pPr>
              <w:pStyle w:val="NoSpacing"/>
              <w:rPr>
                <w:szCs w:val="22"/>
              </w:rPr>
            </w:pPr>
            <w:r w:rsidRPr="00400E44">
              <w:rPr>
                <w:szCs w:val="22"/>
              </w:rPr>
              <w:t>Decisions Made</w:t>
            </w:r>
          </w:p>
        </w:tc>
        <w:tc>
          <w:tcPr>
            <w:tcW w:w="834" w:type="pct"/>
            <w:tcBorders>
              <w:top w:val="single" w:sz="12" w:space="0" w:color="auto"/>
              <w:left w:val="single" w:sz="12" w:space="0" w:color="auto"/>
              <w:bottom w:val="single" w:sz="12" w:space="0" w:color="auto"/>
              <w:right w:val="single" w:sz="12" w:space="0" w:color="auto"/>
            </w:tcBorders>
          </w:tcPr>
          <w:p w14:paraId="58AFEAE7" w14:textId="77777777" w:rsidR="002E5A58" w:rsidRPr="00400E44" w:rsidRDefault="002E5A58" w:rsidP="002E5A58">
            <w:pPr>
              <w:pStyle w:val="NoSpacing"/>
              <w:rPr>
                <w:szCs w:val="22"/>
              </w:rPr>
            </w:pPr>
            <w:r w:rsidRPr="00400E44">
              <w:rPr>
                <w:szCs w:val="22"/>
              </w:rPr>
              <w:t>Completed by.</w:t>
            </w:r>
          </w:p>
        </w:tc>
        <w:tc>
          <w:tcPr>
            <w:tcW w:w="834" w:type="pct"/>
            <w:tcBorders>
              <w:top w:val="single" w:sz="12" w:space="0" w:color="auto"/>
              <w:left w:val="single" w:sz="12" w:space="0" w:color="auto"/>
              <w:bottom w:val="single" w:sz="12" w:space="0" w:color="auto"/>
              <w:right w:val="single" w:sz="12" w:space="0" w:color="auto"/>
            </w:tcBorders>
          </w:tcPr>
          <w:p w14:paraId="6FD385F8" w14:textId="77777777" w:rsidR="002E5A58" w:rsidRPr="00400E44" w:rsidRDefault="002E5A58" w:rsidP="002E5A58">
            <w:pPr>
              <w:pStyle w:val="NoSpacing"/>
              <w:rPr>
                <w:szCs w:val="22"/>
              </w:rPr>
            </w:pPr>
            <w:r w:rsidRPr="00400E44">
              <w:rPr>
                <w:szCs w:val="22"/>
              </w:rPr>
              <w:t>Impact Assessment Review date</w:t>
            </w:r>
          </w:p>
        </w:tc>
      </w:tr>
      <w:tr w:rsidR="002E5A58" w:rsidRPr="00476EE7" w14:paraId="5DFFEC6A" w14:textId="77777777" w:rsidTr="00400E44">
        <w:trPr>
          <w:trHeight w:val="508"/>
        </w:trPr>
        <w:tc>
          <w:tcPr>
            <w:tcW w:w="833" w:type="pct"/>
            <w:tcBorders>
              <w:top w:val="single" w:sz="12" w:space="0" w:color="auto"/>
              <w:left w:val="single" w:sz="12" w:space="0" w:color="auto"/>
              <w:bottom w:val="single" w:sz="12" w:space="0" w:color="auto"/>
              <w:right w:val="single" w:sz="12" w:space="0" w:color="auto"/>
            </w:tcBorders>
            <w:shd w:val="clear" w:color="auto" w:fill="auto"/>
          </w:tcPr>
          <w:p w14:paraId="1C56CC73" w14:textId="77777777" w:rsidR="002E5A58" w:rsidRPr="00476EE7" w:rsidRDefault="002E5A58" w:rsidP="002E5A58">
            <w:pPr>
              <w:pStyle w:val="NoSpacing"/>
              <w:rPr>
                <w:sz w:val="16"/>
                <w:szCs w:val="16"/>
                <w:highlight w:val="yellow"/>
              </w:rPr>
            </w:pPr>
          </w:p>
        </w:tc>
        <w:tc>
          <w:tcPr>
            <w:tcW w:w="833" w:type="pct"/>
            <w:tcBorders>
              <w:top w:val="single" w:sz="12" w:space="0" w:color="auto"/>
              <w:left w:val="single" w:sz="12" w:space="0" w:color="auto"/>
              <w:bottom w:val="single" w:sz="12" w:space="0" w:color="auto"/>
              <w:right w:val="single" w:sz="12" w:space="0" w:color="auto"/>
            </w:tcBorders>
            <w:shd w:val="clear" w:color="auto" w:fill="auto"/>
          </w:tcPr>
          <w:p w14:paraId="48EE1D50" w14:textId="77777777" w:rsidR="002E5A58" w:rsidRPr="0095109C" w:rsidRDefault="002E5A58" w:rsidP="002E5A58">
            <w:pPr>
              <w:pStyle w:val="NoSpacing"/>
              <w:rPr>
                <w:sz w:val="16"/>
                <w:szCs w:val="16"/>
              </w:rPr>
            </w:pPr>
          </w:p>
        </w:tc>
        <w:tc>
          <w:tcPr>
            <w:tcW w:w="833" w:type="pct"/>
            <w:tcBorders>
              <w:top w:val="single" w:sz="12" w:space="0" w:color="auto"/>
              <w:left w:val="single" w:sz="12" w:space="0" w:color="auto"/>
              <w:bottom w:val="single" w:sz="12" w:space="0" w:color="auto"/>
              <w:right w:val="single" w:sz="12" w:space="0" w:color="auto"/>
            </w:tcBorders>
            <w:shd w:val="clear" w:color="auto" w:fill="auto"/>
          </w:tcPr>
          <w:p w14:paraId="71E74F1D" w14:textId="77777777" w:rsidR="002E5A58" w:rsidRPr="0095109C" w:rsidRDefault="002E5A58" w:rsidP="002E5A58">
            <w:pPr>
              <w:pStyle w:val="NoSpacing"/>
              <w:rPr>
                <w:sz w:val="16"/>
                <w:szCs w:val="16"/>
              </w:rPr>
            </w:pPr>
          </w:p>
        </w:tc>
        <w:tc>
          <w:tcPr>
            <w:tcW w:w="833" w:type="pct"/>
            <w:tcBorders>
              <w:top w:val="single" w:sz="12" w:space="0" w:color="auto"/>
              <w:left w:val="single" w:sz="12" w:space="0" w:color="auto"/>
              <w:bottom w:val="single" w:sz="12" w:space="0" w:color="auto"/>
              <w:right w:val="single" w:sz="12" w:space="0" w:color="auto"/>
            </w:tcBorders>
            <w:shd w:val="clear" w:color="auto" w:fill="auto"/>
          </w:tcPr>
          <w:p w14:paraId="51D30F8F" w14:textId="77777777" w:rsidR="002E5A58" w:rsidRPr="0095109C" w:rsidRDefault="002E5A58" w:rsidP="002E5A58">
            <w:pPr>
              <w:pStyle w:val="NoSpacing"/>
              <w:rPr>
                <w:sz w:val="16"/>
                <w:szCs w:val="16"/>
              </w:rPr>
            </w:pPr>
          </w:p>
        </w:tc>
        <w:tc>
          <w:tcPr>
            <w:tcW w:w="834" w:type="pct"/>
            <w:tcBorders>
              <w:top w:val="single" w:sz="12" w:space="0" w:color="auto"/>
              <w:left w:val="single" w:sz="12" w:space="0" w:color="auto"/>
              <w:bottom w:val="single" w:sz="12" w:space="0" w:color="auto"/>
              <w:right w:val="single" w:sz="12" w:space="0" w:color="auto"/>
            </w:tcBorders>
            <w:shd w:val="clear" w:color="auto" w:fill="auto"/>
          </w:tcPr>
          <w:p w14:paraId="2908BCE3" w14:textId="77777777" w:rsidR="002E5A58" w:rsidRPr="0095109C" w:rsidRDefault="002E5A58" w:rsidP="002E5A58">
            <w:pPr>
              <w:pStyle w:val="NoSpacing"/>
              <w:rPr>
                <w:sz w:val="16"/>
                <w:szCs w:val="16"/>
              </w:rPr>
            </w:pPr>
          </w:p>
        </w:tc>
        <w:tc>
          <w:tcPr>
            <w:tcW w:w="834" w:type="pct"/>
            <w:tcBorders>
              <w:top w:val="single" w:sz="12" w:space="0" w:color="auto"/>
              <w:left w:val="single" w:sz="12" w:space="0" w:color="auto"/>
              <w:bottom w:val="single" w:sz="12" w:space="0" w:color="auto"/>
              <w:right w:val="single" w:sz="12" w:space="0" w:color="auto"/>
            </w:tcBorders>
            <w:shd w:val="clear" w:color="auto" w:fill="auto"/>
          </w:tcPr>
          <w:p w14:paraId="4F43256F" w14:textId="77777777" w:rsidR="002E5A58" w:rsidRPr="0095109C" w:rsidRDefault="002E5A58" w:rsidP="002E5A58">
            <w:pPr>
              <w:pStyle w:val="NoSpacing"/>
              <w:rPr>
                <w:sz w:val="16"/>
                <w:szCs w:val="16"/>
              </w:rPr>
            </w:pPr>
          </w:p>
        </w:tc>
      </w:tr>
    </w:tbl>
    <w:p w14:paraId="3E1D7739" w14:textId="77777777" w:rsidR="00400E44" w:rsidRPr="008B292D" w:rsidRDefault="00400E44" w:rsidP="00400E44">
      <w:pPr>
        <w:jc w:val="both"/>
        <w:rPr>
          <w:rFonts w:ascii="Verdana" w:hAnsi="Verdana"/>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88"/>
        <w:gridCol w:w="5708"/>
      </w:tblGrid>
      <w:tr w:rsidR="00400E44" w:rsidRPr="00476EE7" w14:paraId="6E188B64" w14:textId="77777777" w:rsidTr="00600DA2">
        <w:trPr>
          <w:trHeight w:val="499"/>
        </w:trPr>
        <w:tc>
          <w:tcPr>
            <w:tcW w:w="8522" w:type="dxa"/>
            <w:gridSpan w:val="2"/>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0B73A1F3" w14:textId="77777777" w:rsidR="00400E44" w:rsidRPr="00476EE7" w:rsidRDefault="00400E44" w:rsidP="00400E44">
            <w:pPr>
              <w:pStyle w:val="NoSpacing"/>
            </w:pPr>
            <w:r w:rsidRPr="00476EE7">
              <w:t xml:space="preserve">Document retention </w:t>
            </w:r>
          </w:p>
        </w:tc>
      </w:tr>
      <w:tr w:rsidR="00400E44" w:rsidRPr="00476EE7" w14:paraId="2A88AFAD" w14:textId="77777777" w:rsidTr="00FD21E3">
        <w:trPr>
          <w:trHeight w:val="499"/>
        </w:trPr>
        <w:tc>
          <w:tcPr>
            <w:tcW w:w="3115" w:type="dxa"/>
            <w:tcBorders>
              <w:top w:val="single" w:sz="12" w:space="0" w:color="auto"/>
              <w:left w:val="single" w:sz="12" w:space="0" w:color="auto"/>
              <w:bottom w:val="single" w:sz="12" w:space="0" w:color="auto"/>
              <w:right w:val="single" w:sz="12" w:space="0" w:color="auto"/>
            </w:tcBorders>
            <w:vAlign w:val="center"/>
          </w:tcPr>
          <w:p w14:paraId="3EA86A4C" w14:textId="77777777" w:rsidR="00400E44" w:rsidRPr="00476EE7" w:rsidRDefault="00400E44" w:rsidP="00400E44">
            <w:pPr>
              <w:pStyle w:val="NoSpacing"/>
              <w:rPr>
                <w:rFonts w:ascii="Verdana" w:hAnsi="Verdana"/>
                <w:b/>
                <w:sz w:val="16"/>
                <w:szCs w:val="16"/>
              </w:rPr>
            </w:pPr>
            <w:r w:rsidRPr="00476EE7">
              <w:rPr>
                <w:rFonts w:ascii="Verdana" w:hAnsi="Verdana"/>
                <w:b/>
                <w:sz w:val="16"/>
                <w:szCs w:val="16"/>
              </w:rPr>
              <w:t>Document retention period</w:t>
            </w:r>
          </w:p>
        </w:tc>
        <w:tc>
          <w:tcPr>
            <w:tcW w:w="5407" w:type="dxa"/>
            <w:tcBorders>
              <w:top w:val="single" w:sz="12" w:space="0" w:color="auto"/>
              <w:left w:val="single" w:sz="12" w:space="0" w:color="auto"/>
              <w:bottom w:val="single" w:sz="12" w:space="0" w:color="auto"/>
              <w:right w:val="single" w:sz="12" w:space="0" w:color="auto"/>
            </w:tcBorders>
            <w:vAlign w:val="center"/>
          </w:tcPr>
          <w:p w14:paraId="5E02BFE5" w14:textId="07E53F80" w:rsidR="00400E44" w:rsidRPr="00476EE7" w:rsidRDefault="004C5FEC" w:rsidP="00400E44">
            <w:pPr>
              <w:pStyle w:val="NoSpacing"/>
              <w:rPr>
                <w:rFonts w:ascii="Verdana" w:hAnsi="Verdana"/>
                <w:sz w:val="20"/>
                <w:szCs w:val="24"/>
              </w:rPr>
            </w:pPr>
            <w:r>
              <w:rPr>
                <w:rFonts w:ascii="Verdana" w:hAnsi="Verdana"/>
                <w:sz w:val="20"/>
                <w:szCs w:val="24"/>
              </w:rPr>
              <w:t>7 years</w:t>
            </w:r>
          </w:p>
        </w:tc>
      </w:tr>
    </w:tbl>
    <w:p w14:paraId="58C84082" w14:textId="77777777" w:rsidR="00400E44" w:rsidRDefault="00400E44" w:rsidP="00400E44"/>
    <w:p w14:paraId="155FB211" w14:textId="77777777" w:rsidR="00400E44" w:rsidRDefault="00400E44" w:rsidP="00400E44"/>
    <w:p w14:paraId="133EECCD" w14:textId="77777777" w:rsidR="002E5A58" w:rsidRDefault="002E5A58" w:rsidP="00400E44">
      <w:pPr>
        <w:pStyle w:val="NoSpacing"/>
      </w:pPr>
      <w:r>
        <w:br w:type="page"/>
      </w:r>
    </w:p>
    <w:p w14:paraId="700F37E8" w14:textId="77777777" w:rsidR="002E5A58" w:rsidRDefault="002E5A58" w:rsidP="00400E44">
      <w:pPr>
        <w:pStyle w:val="TOCHeading"/>
      </w:pPr>
      <w:r>
        <w:lastRenderedPageBreak/>
        <w:t>Contents</w:t>
      </w:r>
      <w:r w:rsidR="00F56781">
        <w:fldChar w:fldCharType="begin"/>
      </w:r>
      <w:r>
        <w:instrText xml:space="preserve"> TOC \o "1-3" \h \z \u </w:instrText>
      </w:r>
      <w:r w:rsidR="00F56781">
        <w:fldChar w:fldCharType="separate"/>
      </w:r>
    </w:p>
    <w:p w14:paraId="12E0AB68" w14:textId="77777777" w:rsidR="002E5A58" w:rsidRDefault="00A33D2A">
      <w:pPr>
        <w:pStyle w:val="TOC1"/>
        <w:tabs>
          <w:tab w:val="right" w:leader="dot" w:pos="9016"/>
        </w:tabs>
        <w:rPr>
          <w:noProof/>
        </w:rPr>
      </w:pPr>
      <w:hyperlink w:anchor="_Toc417480993" w:history="1"/>
    </w:p>
    <w:p w14:paraId="501C6C74" w14:textId="77777777" w:rsidR="002E5A58" w:rsidRDefault="00A33D2A">
      <w:pPr>
        <w:pStyle w:val="TOC1"/>
        <w:tabs>
          <w:tab w:val="right" w:leader="dot" w:pos="9016"/>
        </w:tabs>
        <w:rPr>
          <w:noProof/>
        </w:rPr>
      </w:pPr>
      <w:hyperlink w:anchor="_Toc417480994" w:history="1">
        <w:r w:rsidR="002E5A58" w:rsidRPr="001D1796">
          <w:rPr>
            <w:rStyle w:val="Hyperlink"/>
            <w:noProof/>
          </w:rPr>
          <w:t>Environmental Health Enforcement Policy</w:t>
        </w:r>
        <w:r w:rsidR="002E5A58">
          <w:rPr>
            <w:noProof/>
            <w:webHidden/>
          </w:rPr>
          <w:tab/>
        </w:r>
        <w:r w:rsidR="00F56781">
          <w:rPr>
            <w:noProof/>
            <w:webHidden/>
          </w:rPr>
          <w:fldChar w:fldCharType="begin"/>
        </w:r>
        <w:r w:rsidR="002E5A58">
          <w:rPr>
            <w:noProof/>
            <w:webHidden/>
          </w:rPr>
          <w:instrText xml:space="preserve"> PAGEREF _Toc417480994 \h </w:instrText>
        </w:r>
        <w:r w:rsidR="00F56781">
          <w:rPr>
            <w:noProof/>
            <w:webHidden/>
          </w:rPr>
        </w:r>
        <w:r w:rsidR="00F56781">
          <w:rPr>
            <w:noProof/>
            <w:webHidden/>
          </w:rPr>
          <w:fldChar w:fldCharType="separate"/>
        </w:r>
        <w:r w:rsidR="002E5A58">
          <w:rPr>
            <w:noProof/>
            <w:webHidden/>
          </w:rPr>
          <w:t>4</w:t>
        </w:r>
        <w:r w:rsidR="00F56781">
          <w:rPr>
            <w:noProof/>
            <w:webHidden/>
          </w:rPr>
          <w:fldChar w:fldCharType="end"/>
        </w:r>
      </w:hyperlink>
    </w:p>
    <w:p w14:paraId="6D797667" w14:textId="77777777" w:rsidR="002E5A58" w:rsidRDefault="00A33D2A">
      <w:pPr>
        <w:pStyle w:val="TOC1"/>
        <w:tabs>
          <w:tab w:val="right" w:leader="dot" w:pos="9016"/>
        </w:tabs>
        <w:rPr>
          <w:noProof/>
        </w:rPr>
      </w:pPr>
      <w:hyperlink w:anchor="_Toc417480995" w:history="1">
        <w:r w:rsidR="002E5A58" w:rsidRPr="001D1796">
          <w:rPr>
            <w:rStyle w:val="Hyperlink"/>
            <w:noProof/>
          </w:rPr>
          <w:t>Aim and Scope</w:t>
        </w:r>
        <w:r w:rsidR="002E5A58">
          <w:rPr>
            <w:noProof/>
            <w:webHidden/>
          </w:rPr>
          <w:tab/>
        </w:r>
        <w:r w:rsidR="00F56781">
          <w:rPr>
            <w:noProof/>
            <w:webHidden/>
          </w:rPr>
          <w:fldChar w:fldCharType="begin"/>
        </w:r>
        <w:r w:rsidR="002E5A58">
          <w:rPr>
            <w:noProof/>
            <w:webHidden/>
          </w:rPr>
          <w:instrText xml:space="preserve"> PAGEREF _Toc417480995 \h </w:instrText>
        </w:r>
        <w:r w:rsidR="00F56781">
          <w:rPr>
            <w:noProof/>
            <w:webHidden/>
          </w:rPr>
        </w:r>
        <w:r w:rsidR="00F56781">
          <w:rPr>
            <w:noProof/>
            <w:webHidden/>
          </w:rPr>
          <w:fldChar w:fldCharType="separate"/>
        </w:r>
        <w:r w:rsidR="002E5A58">
          <w:rPr>
            <w:noProof/>
            <w:webHidden/>
          </w:rPr>
          <w:t>4</w:t>
        </w:r>
        <w:r w:rsidR="00F56781">
          <w:rPr>
            <w:noProof/>
            <w:webHidden/>
          </w:rPr>
          <w:fldChar w:fldCharType="end"/>
        </w:r>
      </w:hyperlink>
    </w:p>
    <w:p w14:paraId="67C04C92" w14:textId="560EE3B1" w:rsidR="002E5A58" w:rsidRDefault="00A33D2A">
      <w:pPr>
        <w:pStyle w:val="TOC1"/>
        <w:tabs>
          <w:tab w:val="right" w:leader="dot" w:pos="9016"/>
        </w:tabs>
        <w:rPr>
          <w:noProof/>
        </w:rPr>
      </w:pPr>
      <w:hyperlink w:anchor="_Toc417480996" w:history="1">
        <w:r w:rsidR="002E5A58" w:rsidRPr="001D1796">
          <w:rPr>
            <w:rStyle w:val="Hyperlink"/>
            <w:noProof/>
          </w:rPr>
          <w:t>Principles of Enforcement</w:t>
        </w:r>
        <w:r w:rsidR="002E5A58">
          <w:rPr>
            <w:noProof/>
            <w:webHidden/>
          </w:rPr>
          <w:tab/>
        </w:r>
        <w:r w:rsidR="00F56781">
          <w:rPr>
            <w:noProof/>
            <w:webHidden/>
          </w:rPr>
          <w:fldChar w:fldCharType="begin"/>
        </w:r>
        <w:r w:rsidR="002E5A58">
          <w:rPr>
            <w:noProof/>
            <w:webHidden/>
          </w:rPr>
          <w:instrText xml:space="preserve"> PAGEREF _Toc417480996 \h </w:instrText>
        </w:r>
        <w:r w:rsidR="00F56781">
          <w:rPr>
            <w:noProof/>
            <w:webHidden/>
          </w:rPr>
        </w:r>
        <w:r w:rsidR="00F56781">
          <w:rPr>
            <w:noProof/>
            <w:webHidden/>
          </w:rPr>
          <w:fldChar w:fldCharType="separate"/>
        </w:r>
        <w:r w:rsidR="002E5A58">
          <w:rPr>
            <w:noProof/>
            <w:webHidden/>
          </w:rPr>
          <w:t>4</w:t>
        </w:r>
        <w:r w:rsidR="00F56781">
          <w:rPr>
            <w:noProof/>
            <w:webHidden/>
          </w:rPr>
          <w:fldChar w:fldCharType="end"/>
        </w:r>
      </w:hyperlink>
      <w:r w:rsidR="00391C02">
        <w:rPr>
          <w:noProof/>
        </w:rPr>
        <w:t>-5</w:t>
      </w:r>
    </w:p>
    <w:p w14:paraId="57466051" w14:textId="7C25AAED" w:rsidR="002E5A58" w:rsidRDefault="00A33D2A">
      <w:pPr>
        <w:pStyle w:val="TOC1"/>
        <w:tabs>
          <w:tab w:val="right" w:leader="dot" w:pos="9016"/>
        </w:tabs>
        <w:rPr>
          <w:noProof/>
        </w:rPr>
      </w:pPr>
      <w:hyperlink w:anchor="_Toc417480997" w:history="1">
        <w:r w:rsidR="002E5A58" w:rsidRPr="001D1796">
          <w:rPr>
            <w:rStyle w:val="Hyperlink"/>
            <w:noProof/>
          </w:rPr>
          <w:t>Proportionality</w:t>
        </w:r>
        <w:r w:rsidR="002E5A58">
          <w:rPr>
            <w:noProof/>
            <w:webHidden/>
          </w:rPr>
          <w:tab/>
        </w:r>
      </w:hyperlink>
      <w:r w:rsidR="00391C02">
        <w:rPr>
          <w:noProof/>
        </w:rPr>
        <w:t>5</w:t>
      </w:r>
    </w:p>
    <w:p w14:paraId="41E9F71E" w14:textId="77777777" w:rsidR="002E5A58" w:rsidRDefault="00A33D2A">
      <w:pPr>
        <w:pStyle w:val="TOC1"/>
        <w:tabs>
          <w:tab w:val="right" w:leader="dot" w:pos="9016"/>
        </w:tabs>
        <w:rPr>
          <w:noProof/>
        </w:rPr>
      </w:pPr>
      <w:hyperlink w:anchor="_Toc417480998" w:history="1">
        <w:r w:rsidR="002E5A58" w:rsidRPr="001D1796">
          <w:rPr>
            <w:rStyle w:val="Hyperlink"/>
            <w:noProof/>
          </w:rPr>
          <w:t>Consistency</w:t>
        </w:r>
        <w:r w:rsidR="002E5A58">
          <w:rPr>
            <w:noProof/>
            <w:webHidden/>
          </w:rPr>
          <w:tab/>
        </w:r>
        <w:r w:rsidR="00F56781">
          <w:rPr>
            <w:noProof/>
            <w:webHidden/>
          </w:rPr>
          <w:fldChar w:fldCharType="begin"/>
        </w:r>
        <w:r w:rsidR="002E5A58">
          <w:rPr>
            <w:noProof/>
            <w:webHidden/>
          </w:rPr>
          <w:instrText xml:space="preserve"> PAGEREF _Toc417480998 \h </w:instrText>
        </w:r>
        <w:r w:rsidR="00F56781">
          <w:rPr>
            <w:noProof/>
            <w:webHidden/>
          </w:rPr>
        </w:r>
        <w:r w:rsidR="00F56781">
          <w:rPr>
            <w:noProof/>
            <w:webHidden/>
          </w:rPr>
          <w:fldChar w:fldCharType="separate"/>
        </w:r>
        <w:r w:rsidR="002E5A58">
          <w:rPr>
            <w:noProof/>
            <w:webHidden/>
          </w:rPr>
          <w:t>5</w:t>
        </w:r>
        <w:r w:rsidR="00F56781">
          <w:rPr>
            <w:noProof/>
            <w:webHidden/>
          </w:rPr>
          <w:fldChar w:fldCharType="end"/>
        </w:r>
      </w:hyperlink>
    </w:p>
    <w:p w14:paraId="47B9FEC2" w14:textId="0815E73A" w:rsidR="002E5A58" w:rsidRDefault="00A33D2A">
      <w:pPr>
        <w:pStyle w:val="TOC1"/>
        <w:tabs>
          <w:tab w:val="right" w:leader="dot" w:pos="9016"/>
        </w:tabs>
        <w:rPr>
          <w:noProof/>
        </w:rPr>
      </w:pPr>
      <w:hyperlink w:anchor="_Toc417480999" w:history="1">
        <w:r w:rsidR="002E5A58" w:rsidRPr="001D1796">
          <w:rPr>
            <w:rStyle w:val="Hyperlink"/>
            <w:noProof/>
          </w:rPr>
          <w:t>Transparency</w:t>
        </w:r>
        <w:r w:rsidR="002E5A58">
          <w:rPr>
            <w:noProof/>
            <w:webHidden/>
          </w:rPr>
          <w:tab/>
        </w:r>
        <w:r w:rsidR="00391C02">
          <w:rPr>
            <w:noProof/>
            <w:webHidden/>
          </w:rPr>
          <w:t>5-6</w:t>
        </w:r>
      </w:hyperlink>
    </w:p>
    <w:p w14:paraId="456F2F8B" w14:textId="77777777" w:rsidR="002E5A58" w:rsidRDefault="00A33D2A">
      <w:pPr>
        <w:pStyle w:val="TOC1"/>
        <w:tabs>
          <w:tab w:val="right" w:leader="dot" w:pos="9016"/>
        </w:tabs>
        <w:rPr>
          <w:noProof/>
        </w:rPr>
      </w:pPr>
      <w:hyperlink w:anchor="_Toc417481000" w:history="1">
        <w:r w:rsidR="002E5A58" w:rsidRPr="001D1796">
          <w:rPr>
            <w:rStyle w:val="Hyperlink"/>
            <w:noProof/>
          </w:rPr>
          <w:t>Targeting</w:t>
        </w:r>
        <w:r w:rsidR="002E5A58">
          <w:rPr>
            <w:noProof/>
            <w:webHidden/>
          </w:rPr>
          <w:tab/>
        </w:r>
        <w:r w:rsidR="00F56781">
          <w:rPr>
            <w:noProof/>
            <w:webHidden/>
          </w:rPr>
          <w:fldChar w:fldCharType="begin"/>
        </w:r>
        <w:r w:rsidR="002E5A58">
          <w:rPr>
            <w:noProof/>
            <w:webHidden/>
          </w:rPr>
          <w:instrText xml:space="preserve"> PAGEREF _Toc417481000 \h </w:instrText>
        </w:r>
        <w:r w:rsidR="00F56781">
          <w:rPr>
            <w:noProof/>
            <w:webHidden/>
          </w:rPr>
        </w:r>
        <w:r w:rsidR="00F56781">
          <w:rPr>
            <w:noProof/>
            <w:webHidden/>
          </w:rPr>
          <w:fldChar w:fldCharType="separate"/>
        </w:r>
        <w:r w:rsidR="002E5A58">
          <w:rPr>
            <w:noProof/>
            <w:webHidden/>
          </w:rPr>
          <w:t>6</w:t>
        </w:r>
        <w:r w:rsidR="00F56781">
          <w:rPr>
            <w:noProof/>
            <w:webHidden/>
          </w:rPr>
          <w:fldChar w:fldCharType="end"/>
        </w:r>
      </w:hyperlink>
    </w:p>
    <w:p w14:paraId="557FC3E2" w14:textId="14D4C11D" w:rsidR="002E5A58" w:rsidRDefault="00A33D2A">
      <w:pPr>
        <w:pStyle w:val="TOC1"/>
        <w:tabs>
          <w:tab w:val="right" w:leader="dot" w:pos="9016"/>
        </w:tabs>
        <w:rPr>
          <w:noProof/>
        </w:rPr>
      </w:pPr>
      <w:hyperlink w:anchor="_Toc417481001" w:history="1">
        <w:r w:rsidR="002E5A58" w:rsidRPr="001D1796">
          <w:rPr>
            <w:rStyle w:val="Hyperlink"/>
            <w:noProof/>
          </w:rPr>
          <w:t>Accountability</w:t>
        </w:r>
        <w:r w:rsidR="002E5A58">
          <w:rPr>
            <w:noProof/>
            <w:webHidden/>
          </w:rPr>
          <w:tab/>
        </w:r>
        <w:r w:rsidR="00391C02">
          <w:rPr>
            <w:noProof/>
            <w:webHidden/>
          </w:rPr>
          <w:t>6-7</w:t>
        </w:r>
      </w:hyperlink>
    </w:p>
    <w:p w14:paraId="218A8D85" w14:textId="77777777" w:rsidR="002E5A58" w:rsidRDefault="00A33D2A">
      <w:pPr>
        <w:pStyle w:val="TOC1"/>
        <w:tabs>
          <w:tab w:val="right" w:leader="dot" w:pos="9016"/>
        </w:tabs>
        <w:rPr>
          <w:noProof/>
        </w:rPr>
      </w:pPr>
      <w:hyperlink w:anchor="_Toc417481002" w:history="1">
        <w:r w:rsidR="002E5A58" w:rsidRPr="001D1796">
          <w:rPr>
            <w:rStyle w:val="Hyperlink"/>
            <w:noProof/>
          </w:rPr>
          <w:t>Investigation</w:t>
        </w:r>
        <w:r w:rsidR="002E5A58">
          <w:rPr>
            <w:noProof/>
            <w:webHidden/>
          </w:rPr>
          <w:tab/>
        </w:r>
        <w:r w:rsidR="00F56781">
          <w:rPr>
            <w:noProof/>
            <w:webHidden/>
          </w:rPr>
          <w:fldChar w:fldCharType="begin"/>
        </w:r>
        <w:r w:rsidR="002E5A58">
          <w:rPr>
            <w:noProof/>
            <w:webHidden/>
          </w:rPr>
          <w:instrText xml:space="preserve"> PAGEREF _Toc417481002 \h </w:instrText>
        </w:r>
        <w:r w:rsidR="00F56781">
          <w:rPr>
            <w:noProof/>
            <w:webHidden/>
          </w:rPr>
        </w:r>
        <w:r w:rsidR="00F56781">
          <w:rPr>
            <w:noProof/>
            <w:webHidden/>
          </w:rPr>
          <w:fldChar w:fldCharType="separate"/>
        </w:r>
        <w:r w:rsidR="002E5A58">
          <w:rPr>
            <w:noProof/>
            <w:webHidden/>
          </w:rPr>
          <w:t>7</w:t>
        </w:r>
        <w:r w:rsidR="00F56781">
          <w:rPr>
            <w:noProof/>
            <w:webHidden/>
          </w:rPr>
          <w:fldChar w:fldCharType="end"/>
        </w:r>
      </w:hyperlink>
    </w:p>
    <w:p w14:paraId="5B63E7AE" w14:textId="77777777" w:rsidR="002E5A58" w:rsidRDefault="00A33D2A">
      <w:pPr>
        <w:pStyle w:val="TOC1"/>
        <w:tabs>
          <w:tab w:val="right" w:leader="dot" w:pos="9016"/>
        </w:tabs>
        <w:rPr>
          <w:noProof/>
        </w:rPr>
      </w:pPr>
      <w:hyperlink w:anchor="_Toc417481003" w:history="1">
        <w:r w:rsidR="002E5A58" w:rsidRPr="001D1796">
          <w:rPr>
            <w:rStyle w:val="Hyperlink"/>
            <w:noProof/>
          </w:rPr>
          <w:t>Confidentiality</w:t>
        </w:r>
        <w:r w:rsidR="002E5A58">
          <w:rPr>
            <w:noProof/>
            <w:webHidden/>
          </w:rPr>
          <w:tab/>
        </w:r>
        <w:r w:rsidR="00F56781">
          <w:rPr>
            <w:noProof/>
            <w:webHidden/>
          </w:rPr>
          <w:fldChar w:fldCharType="begin"/>
        </w:r>
        <w:r w:rsidR="002E5A58">
          <w:rPr>
            <w:noProof/>
            <w:webHidden/>
          </w:rPr>
          <w:instrText xml:space="preserve"> PAGEREF _Toc417481003 \h </w:instrText>
        </w:r>
        <w:r w:rsidR="00F56781">
          <w:rPr>
            <w:noProof/>
            <w:webHidden/>
          </w:rPr>
        </w:r>
        <w:r w:rsidR="00F56781">
          <w:rPr>
            <w:noProof/>
            <w:webHidden/>
          </w:rPr>
          <w:fldChar w:fldCharType="separate"/>
        </w:r>
        <w:r w:rsidR="002E5A58">
          <w:rPr>
            <w:noProof/>
            <w:webHidden/>
          </w:rPr>
          <w:t>7</w:t>
        </w:r>
        <w:r w:rsidR="00F56781">
          <w:rPr>
            <w:noProof/>
            <w:webHidden/>
          </w:rPr>
          <w:fldChar w:fldCharType="end"/>
        </w:r>
      </w:hyperlink>
    </w:p>
    <w:p w14:paraId="22BBD92D" w14:textId="77777777" w:rsidR="002E5A58" w:rsidRDefault="00A33D2A">
      <w:pPr>
        <w:pStyle w:val="TOC1"/>
        <w:tabs>
          <w:tab w:val="right" w:leader="dot" w:pos="9016"/>
        </w:tabs>
        <w:rPr>
          <w:noProof/>
        </w:rPr>
      </w:pPr>
      <w:hyperlink w:anchor="_Toc417481004" w:history="1">
        <w:r w:rsidR="002E5A58" w:rsidRPr="001D1796">
          <w:rPr>
            <w:rStyle w:val="Hyperlink"/>
            <w:noProof/>
          </w:rPr>
          <w:t>Levels of Enforcement Action</w:t>
        </w:r>
        <w:r w:rsidR="002E5A58">
          <w:rPr>
            <w:noProof/>
            <w:webHidden/>
          </w:rPr>
          <w:tab/>
        </w:r>
        <w:r w:rsidR="00F56781">
          <w:rPr>
            <w:noProof/>
            <w:webHidden/>
          </w:rPr>
          <w:fldChar w:fldCharType="begin"/>
        </w:r>
        <w:r w:rsidR="002E5A58">
          <w:rPr>
            <w:noProof/>
            <w:webHidden/>
          </w:rPr>
          <w:instrText xml:space="preserve"> PAGEREF _Toc417481004 \h </w:instrText>
        </w:r>
        <w:r w:rsidR="00F56781">
          <w:rPr>
            <w:noProof/>
            <w:webHidden/>
          </w:rPr>
        </w:r>
        <w:r w:rsidR="00F56781">
          <w:rPr>
            <w:noProof/>
            <w:webHidden/>
          </w:rPr>
          <w:fldChar w:fldCharType="separate"/>
        </w:r>
        <w:r w:rsidR="002E5A58">
          <w:rPr>
            <w:noProof/>
            <w:webHidden/>
          </w:rPr>
          <w:t>7</w:t>
        </w:r>
        <w:r w:rsidR="00F56781">
          <w:rPr>
            <w:noProof/>
            <w:webHidden/>
          </w:rPr>
          <w:fldChar w:fldCharType="end"/>
        </w:r>
      </w:hyperlink>
    </w:p>
    <w:p w14:paraId="1B875A75" w14:textId="656B0C5B" w:rsidR="002E5A58" w:rsidRDefault="00A33D2A">
      <w:pPr>
        <w:pStyle w:val="TOC1"/>
        <w:tabs>
          <w:tab w:val="right" w:leader="dot" w:pos="9016"/>
        </w:tabs>
        <w:rPr>
          <w:noProof/>
        </w:rPr>
      </w:pPr>
      <w:hyperlink w:anchor="_Toc417481005" w:history="1">
        <w:r w:rsidR="002E5A58" w:rsidRPr="001D1796">
          <w:rPr>
            <w:rStyle w:val="Hyperlink"/>
            <w:noProof/>
          </w:rPr>
          <w:t>Informal Action</w:t>
        </w:r>
        <w:r w:rsidR="002E5A58">
          <w:rPr>
            <w:noProof/>
            <w:webHidden/>
          </w:rPr>
          <w:tab/>
        </w:r>
        <w:r w:rsidR="00D372EC">
          <w:rPr>
            <w:noProof/>
            <w:webHidden/>
          </w:rPr>
          <w:t>7-8</w:t>
        </w:r>
      </w:hyperlink>
    </w:p>
    <w:p w14:paraId="32A5FC71" w14:textId="468285C6" w:rsidR="002E5A58" w:rsidRDefault="00A33D2A">
      <w:pPr>
        <w:pStyle w:val="TOC1"/>
        <w:tabs>
          <w:tab w:val="right" w:leader="dot" w:pos="9016"/>
        </w:tabs>
        <w:rPr>
          <w:noProof/>
        </w:rPr>
      </w:pPr>
      <w:hyperlink w:anchor="_Toc417481006" w:history="1">
        <w:r w:rsidR="002E5A58" w:rsidRPr="001D1796">
          <w:rPr>
            <w:rStyle w:val="Hyperlink"/>
            <w:noProof/>
          </w:rPr>
          <w:t>Formal Action</w:t>
        </w:r>
        <w:r w:rsidR="002E5A58">
          <w:rPr>
            <w:noProof/>
            <w:webHidden/>
          </w:rPr>
          <w:tab/>
        </w:r>
        <w:r w:rsidR="00D372EC">
          <w:rPr>
            <w:noProof/>
            <w:webHidden/>
          </w:rPr>
          <w:t>8-9</w:t>
        </w:r>
      </w:hyperlink>
    </w:p>
    <w:p w14:paraId="24D24EE6" w14:textId="7A25FBF1" w:rsidR="002E5A58" w:rsidRDefault="00A33D2A">
      <w:pPr>
        <w:pStyle w:val="TOC1"/>
        <w:tabs>
          <w:tab w:val="right" w:leader="dot" w:pos="9016"/>
        </w:tabs>
        <w:rPr>
          <w:noProof/>
        </w:rPr>
      </w:pPr>
      <w:hyperlink w:anchor="_Toc417481007" w:history="1">
        <w:r w:rsidR="002E5A58" w:rsidRPr="001D1796">
          <w:rPr>
            <w:rStyle w:val="Hyperlink"/>
            <w:noProof/>
          </w:rPr>
          <w:t>Prosecution</w:t>
        </w:r>
        <w:r w:rsidR="002E5A58">
          <w:rPr>
            <w:noProof/>
            <w:webHidden/>
          </w:rPr>
          <w:tab/>
        </w:r>
        <w:r w:rsidR="00D372EC">
          <w:rPr>
            <w:noProof/>
            <w:webHidden/>
          </w:rPr>
          <w:t>9-10</w:t>
        </w:r>
      </w:hyperlink>
    </w:p>
    <w:p w14:paraId="33298AD9" w14:textId="4BAB7EC3" w:rsidR="002E5A58" w:rsidRDefault="00A33D2A">
      <w:pPr>
        <w:pStyle w:val="TOC1"/>
        <w:tabs>
          <w:tab w:val="right" w:leader="dot" w:pos="9016"/>
        </w:tabs>
        <w:rPr>
          <w:noProof/>
        </w:rPr>
      </w:pPr>
      <w:hyperlink w:anchor="_Toc417481008" w:history="1">
        <w:r w:rsidR="002E5A58" w:rsidRPr="001D1796">
          <w:rPr>
            <w:rStyle w:val="Hyperlink"/>
            <w:noProof/>
          </w:rPr>
          <w:t>Decision-Making process</w:t>
        </w:r>
        <w:r w:rsidR="002E5A58">
          <w:rPr>
            <w:noProof/>
            <w:webHidden/>
          </w:rPr>
          <w:tab/>
        </w:r>
        <w:r w:rsidR="00D372EC">
          <w:rPr>
            <w:noProof/>
            <w:webHidden/>
          </w:rPr>
          <w:t>10-11</w:t>
        </w:r>
      </w:hyperlink>
    </w:p>
    <w:p w14:paraId="5BC070A3" w14:textId="77777777" w:rsidR="002E5A58" w:rsidRDefault="00A33D2A">
      <w:pPr>
        <w:pStyle w:val="TOC1"/>
        <w:tabs>
          <w:tab w:val="right" w:leader="dot" w:pos="9016"/>
        </w:tabs>
        <w:rPr>
          <w:noProof/>
        </w:rPr>
      </w:pPr>
      <w:hyperlink w:anchor="_Toc417481009" w:history="1">
        <w:r w:rsidR="002E5A58" w:rsidRPr="001D1796">
          <w:rPr>
            <w:rStyle w:val="Hyperlink"/>
            <w:noProof/>
          </w:rPr>
          <w:t>Working with other Regulators</w:t>
        </w:r>
        <w:r w:rsidR="002E5A58">
          <w:rPr>
            <w:noProof/>
            <w:webHidden/>
          </w:rPr>
          <w:tab/>
        </w:r>
        <w:r w:rsidR="00F56781">
          <w:rPr>
            <w:noProof/>
            <w:webHidden/>
          </w:rPr>
          <w:fldChar w:fldCharType="begin"/>
        </w:r>
        <w:r w:rsidR="002E5A58">
          <w:rPr>
            <w:noProof/>
            <w:webHidden/>
          </w:rPr>
          <w:instrText xml:space="preserve"> PAGEREF _Toc417481009 \h </w:instrText>
        </w:r>
        <w:r w:rsidR="00F56781">
          <w:rPr>
            <w:noProof/>
            <w:webHidden/>
          </w:rPr>
        </w:r>
        <w:r w:rsidR="00F56781">
          <w:rPr>
            <w:noProof/>
            <w:webHidden/>
          </w:rPr>
          <w:fldChar w:fldCharType="separate"/>
        </w:r>
        <w:r w:rsidR="002E5A58">
          <w:rPr>
            <w:noProof/>
            <w:webHidden/>
          </w:rPr>
          <w:t>11</w:t>
        </w:r>
        <w:r w:rsidR="00F56781">
          <w:rPr>
            <w:noProof/>
            <w:webHidden/>
          </w:rPr>
          <w:fldChar w:fldCharType="end"/>
        </w:r>
      </w:hyperlink>
    </w:p>
    <w:p w14:paraId="00ADF3D6" w14:textId="77777777" w:rsidR="002E5A58" w:rsidRDefault="00A33D2A">
      <w:pPr>
        <w:pStyle w:val="TOC1"/>
        <w:tabs>
          <w:tab w:val="right" w:leader="dot" w:pos="9016"/>
        </w:tabs>
        <w:rPr>
          <w:noProof/>
        </w:rPr>
      </w:pPr>
      <w:hyperlink w:anchor="_Toc417481010" w:history="1">
        <w:r w:rsidR="002E5A58" w:rsidRPr="001D1796">
          <w:rPr>
            <w:rStyle w:val="Hyperlink"/>
            <w:noProof/>
          </w:rPr>
          <w:t>Recovery of Costs</w:t>
        </w:r>
        <w:r w:rsidR="002E5A58">
          <w:rPr>
            <w:noProof/>
            <w:webHidden/>
          </w:rPr>
          <w:tab/>
        </w:r>
        <w:r w:rsidR="00F56781">
          <w:rPr>
            <w:noProof/>
            <w:webHidden/>
          </w:rPr>
          <w:fldChar w:fldCharType="begin"/>
        </w:r>
        <w:r w:rsidR="002E5A58">
          <w:rPr>
            <w:noProof/>
            <w:webHidden/>
          </w:rPr>
          <w:instrText xml:space="preserve"> PAGEREF _Toc417481010 \h </w:instrText>
        </w:r>
        <w:r w:rsidR="00F56781">
          <w:rPr>
            <w:noProof/>
            <w:webHidden/>
          </w:rPr>
        </w:r>
        <w:r w:rsidR="00F56781">
          <w:rPr>
            <w:noProof/>
            <w:webHidden/>
          </w:rPr>
          <w:fldChar w:fldCharType="separate"/>
        </w:r>
        <w:r w:rsidR="002E5A58">
          <w:rPr>
            <w:noProof/>
            <w:webHidden/>
          </w:rPr>
          <w:t>11</w:t>
        </w:r>
        <w:r w:rsidR="00F56781">
          <w:rPr>
            <w:noProof/>
            <w:webHidden/>
          </w:rPr>
          <w:fldChar w:fldCharType="end"/>
        </w:r>
      </w:hyperlink>
    </w:p>
    <w:p w14:paraId="2C700B52" w14:textId="77777777" w:rsidR="002E5A58" w:rsidRDefault="00A33D2A">
      <w:pPr>
        <w:pStyle w:val="TOC1"/>
        <w:tabs>
          <w:tab w:val="right" w:leader="dot" w:pos="9016"/>
        </w:tabs>
        <w:rPr>
          <w:noProof/>
        </w:rPr>
      </w:pPr>
      <w:hyperlink w:anchor="_Toc417481011" w:history="1">
        <w:r w:rsidR="002E5A58" w:rsidRPr="001D1796">
          <w:rPr>
            <w:rStyle w:val="Hyperlink"/>
            <w:noProof/>
          </w:rPr>
          <w:t>Public Access to Information</w:t>
        </w:r>
        <w:r w:rsidR="002E5A58">
          <w:rPr>
            <w:noProof/>
            <w:webHidden/>
          </w:rPr>
          <w:tab/>
        </w:r>
        <w:r w:rsidR="00F56781">
          <w:rPr>
            <w:noProof/>
            <w:webHidden/>
          </w:rPr>
          <w:fldChar w:fldCharType="begin"/>
        </w:r>
        <w:r w:rsidR="002E5A58">
          <w:rPr>
            <w:noProof/>
            <w:webHidden/>
          </w:rPr>
          <w:instrText xml:space="preserve"> PAGEREF _Toc417481011 \h </w:instrText>
        </w:r>
        <w:r w:rsidR="00F56781">
          <w:rPr>
            <w:noProof/>
            <w:webHidden/>
          </w:rPr>
        </w:r>
        <w:r w:rsidR="00F56781">
          <w:rPr>
            <w:noProof/>
            <w:webHidden/>
          </w:rPr>
          <w:fldChar w:fldCharType="separate"/>
        </w:r>
        <w:r w:rsidR="002E5A58">
          <w:rPr>
            <w:noProof/>
            <w:webHidden/>
          </w:rPr>
          <w:t>11</w:t>
        </w:r>
        <w:r w:rsidR="00F56781">
          <w:rPr>
            <w:noProof/>
            <w:webHidden/>
          </w:rPr>
          <w:fldChar w:fldCharType="end"/>
        </w:r>
      </w:hyperlink>
    </w:p>
    <w:p w14:paraId="616F1391" w14:textId="07B7D0B1" w:rsidR="002E5A58" w:rsidRDefault="00A33D2A">
      <w:pPr>
        <w:pStyle w:val="TOC1"/>
        <w:tabs>
          <w:tab w:val="right" w:leader="dot" w:pos="9016"/>
        </w:tabs>
        <w:rPr>
          <w:noProof/>
        </w:rPr>
      </w:pPr>
      <w:hyperlink w:anchor="_Toc417481012" w:history="1">
        <w:r w:rsidR="002E5A58" w:rsidRPr="001D1796">
          <w:rPr>
            <w:rStyle w:val="Hyperlink"/>
            <w:noProof/>
          </w:rPr>
          <w:t>Comments</w:t>
        </w:r>
        <w:r w:rsidR="002E5A58">
          <w:rPr>
            <w:noProof/>
            <w:webHidden/>
          </w:rPr>
          <w:tab/>
        </w:r>
        <w:r w:rsidR="00D372EC">
          <w:rPr>
            <w:noProof/>
            <w:webHidden/>
          </w:rPr>
          <w:t>12</w:t>
        </w:r>
      </w:hyperlink>
    </w:p>
    <w:p w14:paraId="7D4E91A7" w14:textId="77777777" w:rsidR="00400E44" w:rsidRDefault="00F56781">
      <w:r>
        <w:fldChar w:fldCharType="end"/>
      </w:r>
    </w:p>
    <w:p w14:paraId="4A36B272" w14:textId="77777777" w:rsidR="002E5A58" w:rsidRDefault="00400E44">
      <w:r>
        <w:br w:type="page"/>
      </w:r>
    </w:p>
    <w:p w14:paraId="2F68A624" w14:textId="77777777" w:rsidR="002E5A58" w:rsidRDefault="002E5A58" w:rsidP="002E5A58"/>
    <w:p w14:paraId="5CBA8E0A" w14:textId="77777777" w:rsidR="002E5A58" w:rsidRPr="008B50F5" w:rsidRDefault="002E5A58" w:rsidP="002E5A58">
      <w:pPr>
        <w:pStyle w:val="Heading1"/>
      </w:pPr>
      <w:bookmarkStart w:id="6" w:name="_Toc417480994"/>
      <w:r w:rsidRPr="008B50F5">
        <w:t>Environmental Health Enforcement Policy</w:t>
      </w:r>
      <w:bookmarkEnd w:id="6"/>
    </w:p>
    <w:p w14:paraId="7BE8031A" w14:textId="0667605F" w:rsidR="002E5A58" w:rsidRDefault="002E5A58" w:rsidP="00400E44">
      <w:pPr>
        <w:jc w:val="both"/>
      </w:pPr>
      <w:r w:rsidRPr="008B50F5">
        <w:t xml:space="preserve">The </w:t>
      </w:r>
      <w:r>
        <w:t>C</w:t>
      </w:r>
      <w:r w:rsidRPr="008B50F5">
        <w:t xml:space="preserve">ouncil of the Isles of Scilly </w:t>
      </w:r>
      <w:r>
        <w:t>has a duty to</w:t>
      </w:r>
      <w:r w:rsidR="008718B6">
        <w:t xml:space="preserve"> ensure compliance with</w:t>
      </w:r>
      <w:r>
        <w:t xml:space="preserve"> Environmental Health legislation that regulates a wide range of activities. This document sets out why and how this is done.</w:t>
      </w:r>
    </w:p>
    <w:p w14:paraId="0ECBE4C0" w14:textId="740543AA" w:rsidR="002E5A58" w:rsidRDefault="002B7B05" w:rsidP="00400E44">
      <w:pPr>
        <w:jc w:val="both"/>
      </w:pPr>
      <w:r>
        <w:t>T</w:t>
      </w:r>
      <w:r w:rsidR="002E5A58">
        <w:t xml:space="preserve">he Council of the Isles of Scilly has delegated its </w:t>
      </w:r>
      <w:r w:rsidR="002342F2">
        <w:t>compliance</w:t>
      </w:r>
      <w:r w:rsidR="002E5A58">
        <w:t xml:space="preserve"> activities to</w:t>
      </w:r>
      <w:r>
        <w:t xml:space="preserve"> officers and primarily</w:t>
      </w:r>
      <w:r w:rsidR="002E5A58">
        <w:t xml:space="preserve"> the Senior Manager, Strategic Development.</w:t>
      </w:r>
      <w:r>
        <w:t xml:space="preserve">  The range and complexity of the legislation is such that compliance activities will be undertaken by appropriately trained and experienced officers.</w:t>
      </w:r>
    </w:p>
    <w:p w14:paraId="4C6D13F0" w14:textId="77777777" w:rsidR="00290372" w:rsidRDefault="00290372" w:rsidP="00290372">
      <w:pPr>
        <w:jc w:val="both"/>
      </w:pPr>
      <w:r w:rsidRPr="006373CC">
        <w:t xml:space="preserve">The Council </w:t>
      </w:r>
      <w:proofErr w:type="spellStart"/>
      <w:r w:rsidRPr="006373CC">
        <w:t>recognises</w:t>
      </w:r>
      <w:proofErr w:type="spellEnd"/>
      <w:r w:rsidRPr="006373CC">
        <w:t xml:space="preserve"> that the first step in enforcement is to prevent contraventions of the law by raising awareness and promoting good practice. Methods of achieving this include training courses, special events, production of guidance leaflets, issue of press releases and opportunities presented by contact with businesses and other customers.</w:t>
      </w:r>
    </w:p>
    <w:p w14:paraId="4F7B68B7" w14:textId="77777777" w:rsidR="00290372" w:rsidRDefault="00290372" w:rsidP="00400E44">
      <w:pPr>
        <w:jc w:val="both"/>
      </w:pPr>
    </w:p>
    <w:p w14:paraId="3F13473B" w14:textId="77777777" w:rsidR="002E5A58" w:rsidRDefault="002E5A58" w:rsidP="00400E44">
      <w:pPr>
        <w:pStyle w:val="Heading1"/>
        <w:jc w:val="both"/>
      </w:pPr>
      <w:bookmarkStart w:id="7" w:name="_Toc417480995"/>
      <w:r w:rsidRPr="008B50F5">
        <w:t>Aim and Scope</w:t>
      </w:r>
      <w:bookmarkEnd w:id="7"/>
    </w:p>
    <w:p w14:paraId="61A08616" w14:textId="6294D369" w:rsidR="002E5A58" w:rsidRDefault="002E5A58" w:rsidP="00400E44">
      <w:pPr>
        <w:jc w:val="both"/>
      </w:pPr>
      <w:r>
        <w:t>Through the application of its Environmental Health functions the Council aims to protect the public, the environment, businesses, consumers and workers. It is committed to these objectives in its approach to enforcement action which is intended to</w:t>
      </w:r>
      <w:r w:rsidR="00C72E95">
        <w:t>;</w:t>
      </w:r>
    </w:p>
    <w:p w14:paraId="6644EA28" w14:textId="6A1BAA20" w:rsidR="002E5A58" w:rsidRDefault="002E5A58" w:rsidP="00400E44">
      <w:pPr>
        <w:numPr>
          <w:ilvl w:val="0"/>
          <w:numId w:val="1"/>
        </w:numPr>
        <w:spacing w:before="0" w:after="0"/>
        <w:jc w:val="both"/>
      </w:pPr>
      <w:r>
        <w:t xml:space="preserve">Ensure that </w:t>
      </w:r>
      <w:r w:rsidR="008718B6">
        <w:t>compliance is met</w:t>
      </w:r>
      <w:r>
        <w:t xml:space="preserve"> in a fair, equitable and consistent manner.</w:t>
      </w:r>
    </w:p>
    <w:p w14:paraId="7CD7FD82" w14:textId="77777777" w:rsidR="002E5A58" w:rsidRDefault="002E5A58" w:rsidP="00400E44">
      <w:pPr>
        <w:numPr>
          <w:ilvl w:val="0"/>
          <w:numId w:val="1"/>
        </w:numPr>
        <w:spacing w:before="0" w:after="0"/>
        <w:jc w:val="both"/>
      </w:pPr>
      <w:r>
        <w:t>Focus on prevention rather than cure.</w:t>
      </w:r>
    </w:p>
    <w:p w14:paraId="05256389" w14:textId="77777777" w:rsidR="002E5A58" w:rsidRDefault="002E5A58" w:rsidP="00400E44">
      <w:pPr>
        <w:numPr>
          <w:ilvl w:val="0"/>
          <w:numId w:val="1"/>
        </w:numPr>
        <w:spacing w:before="0" w:after="0"/>
        <w:jc w:val="both"/>
      </w:pPr>
      <w:r>
        <w:t>Assist businesses and others in meeting their legal obligations without unnecessary expense.</w:t>
      </w:r>
    </w:p>
    <w:p w14:paraId="06682343" w14:textId="77777777" w:rsidR="002E5A58" w:rsidRDefault="002E5A58" w:rsidP="00400E44">
      <w:pPr>
        <w:numPr>
          <w:ilvl w:val="0"/>
          <w:numId w:val="1"/>
        </w:numPr>
        <w:spacing w:before="0" w:after="0"/>
        <w:jc w:val="both"/>
      </w:pPr>
      <w:r>
        <w:t>Take firm action against those who flout the law or act irresponsibly.</w:t>
      </w:r>
    </w:p>
    <w:p w14:paraId="641D866C" w14:textId="77777777" w:rsidR="002E5A58" w:rsidRDefault="002E5A58" w:rsidP="00400E44">
      <w:pPr>
        <w:spacing w:after="0"/>
        <w:jc w:val="both"/>
      </w:pPr>
      <w:r>
        <w:t>The policy sets out the principles and approach that will be followed so as to provide an effective and fair service and to ensure consistent and open enforcement. It applies to all dealings in Environmental Health matters, whether formal or informal, with businesses or members of the public. The policy does not apply to offences where fixed penalty schemes are in place.  This policy is written for the guidance of the Council and its officers and is available to anyone who enquires about our policies and procedures.</w:t>
      </w:r>
    </w:p>
    <w:p w14:paraId="5BBAC934" w14:textId="77777777" w:rsidR="002E5A58" w:rsidRDefault="002E5A58" w:rsidP="00400E44">
      <w:pPr>
        <w:jc w:val="both"/>
      </w:pPr>
      <w:r>
        <w:t>In addition to this generic policy, officers have been issued with a range of more specific enforcement guidelines and procedural documentation to support them in their enforcement decisions.  This policy also encompasses the aims and principles of the government’s Concordat on Good Enforcement.</w:t>
      </w:r>
    </w:p>
    <w:p w14:paraId="27C5C647" w14:textId="77777777" w:rsidR="002E5A58" w:rsidRDefault="002E5A58" w:rsidP="00400E44">
      <w:pPr>
        <w:jc w:val="both"/>
      </w:pPr>
    </w:p>
    <w:p w14:paraId="69546B55" w14:textId="77777777" w:rsidR="002E5A58" w:rsidRDefault="002E5A58" w:rsidP="00400E44">
      <w:pPr>
        <w:pStyle w:val="Heading1"/>
        <w:jc w:val="both"/>
      </w:pPr>
      <w:bookmarkStart w:id="8" w:name="_Toc417480996"/>
      <w:r w:rsidRPr="001B5FBD">
        <w:t>Principles of Enforcement</w:t>
      </w:r>
      <w:bookmarkEnd w:id="8"/>
    </w:p>
    <w:p w14:paraId="66A6780A" w14:textId="77777777" w:rsidR="009F6620" w:rsidRDefault="002E5A58" w:rsidP="00400E44">
      <w:pPr>
        <w:jc w:val="both"/>
      </w:pPr>
      <w:r>
        <w:t xml:space="preserve">The Council believes in firm but fair regulation. This should be informed by the principles of </w:t>
      </w:r>
      <w:r w:rsidRPr="00CE1583">
        <w:rPr>
          <w:b/>
          <w:i/>
        </w:rPr>
        <w:t>proportionality</w:t>
      </w:r>
      <w:r>
        <w:t xml:space="preserve"> in application of the law and in securing compliance, </w:t>
      </w:r>
      <w:r w:rsidRPr="008D5DE7">
        <w:rPr>
          <w:b/>
          <w:i/>
        </w:rPr>
        <w:t>targeting</w:t>
      </w:r>
      <w:r>
        <w:t xml:space="preserve"> of enforcement action, </w:t>
      </w:r>
      <w:r w:rsidRPr="00CE1583">
        <w:rPr>
          <w:b/>
          <w:i/>
        </w:rPr>
        <w:lastRenderedPageBreak/>
        <w:t>consistency</w:t>
      </w:r>
      <w:r>
        <w:t xml:space="preserve"> of approach, </w:t>
      </w:r>
      <w:r w:rsidRPr="00CE1583">
        <w:rPr>
          <w:b/>
          <w:i/>
        </w:rPr>
        <w:t>transparency</w:t>
      </w:r>
      <w:r>
        <w:t xml:space="preserve"> about how the Council operates and what those regulated may expect from the Council and </w:t>
      </w:r>
      <w:r w:rsidRPr="00CE1583">
        <w:rPr>
          <w:b/>
          <w:i/>
        </w:rPr>
        <w:t>accountability</w:t>
      </w:r>
      <w:r>
        <w:t xml:space="preserve"> for the Council’s actions. </w:t>
      </w:r>
    </w:p>
    <w:p w14:paraId="17630E14" w14:textId="5D6DD305" w:rsidR="00874653" w:rsidRDefault="00874653" w:rsidP="00400E44">
      <w:pPr>
        <w:jc w:val="both"/>
      </w:pPr>
      <w:r>
        <w:t>Where possible the Council will advise, educate, train and support businesses to meet the standards required to prevent the need for enforcement action.</w:t>
      </w:r>
    </w:p>
    <w:p w14:paraId="1B580182" w14:textId="77777777" w:rsidR="00400E44" w:rsidRDefault="00400E44" w:rsidP="00400E44">
      <w:pPr>
        <w:jc w:val="both"/>
      </w:pPr>
    </w:p>
    <w:p w14:paraId="1A3EA4F5" w14:textId="77777777" w:rsidR="00400E44" w:rsidRDefault="00400E44" w:rsidP="00400E44">
      <w:pPr>
        <w:jc w:val="both"/>
      </w:pPr>
    </w:p>
    <w:p w14:paraId="704AFE7A" w14:textId="77777777" w:rsidR="002E5A58" w:rsidRDefault="002E5A58" w:rsidP="00400E44">
      <w:pPr>
        <w:pStyle w:val="Heading1"/>
        <w:jc w:val="both"/>
      </w:pPr>
      <w:bookmarkStart w:id="9" w:name="_Toc417480997"/>
      <w:r w:rsidRPr="00CE1583">
        <w:t>Proportionality</w:t>
      </w:r>
      <w:bookmarkEnd w:id="9"/>
    </w:p>
    <w:p w14:paraId="0811865C" w14:textId="77777777" w:rsidR="002E5A58" w:rsidRDefault="002E5A58" w:rsidP="00400E44">
      <w:pPr>
        <w:jc w:val="both"/>
      </w:pPr>
      <w:r w:rsidRPr="00CE1583">
        <w:t xml:space="preserve">The Council will </w:t>
      </w:r>
      <w:proofErr w:type="spellStart"/>
      <w:r w:rsidRPr="00CE1583">
        <w:t>minimise</w:t>
      </w:r>
      <w:proofErr w:type="spellEnd"/>
      <w:r w:rsidRPr="00CE1583">
        <w:t xml:space="preserve"> the costs of compliance by ensuring that</w:t>
      </w:r>
      <w:r>
        <w:t xml:space="preserve"> any action it requires is proportionate to the risks.  As far as law allows, the Council will take account of the circumstances of the case and the attitude of the offender (operator or member of the public) when considering action.</w:t>
      </w:r>
    </w:p>
    <w:p w14:paraId="235C2A9A" w14:textId="4700DC83" w:rsidR="002E5A58" w:rsidRDefault="002E5A58" w:rsidP="00400E44">
      <w:pPr>
        <w:jc w:val="both"/>
      </w:pPr>
      <w:r>
        <w:t>Some incidents or breaches of regulatory requirements cause or may have the potential to cause serious injury/illness and/or environmental damage. Others may have a lesser effect e.g. interference with people’s property or rights. When officers are deciding on the most appropriate enforcement action, they will take account of</w:t>
      </w:r>
      <w:r w:rsidR="00C72E95">
        <w:t>;</w:t>
      </w:r>
    </w:p>
    <w:p w14:paraId="21DB0BBF" w14:textId="139E498F" w:rsidR="002E5A58" w:rsidRDefault="002E5A58" w:rsidP="00400E44">
      <w:pPr>
        <w:numPr>
          <w:ilvl w:val="0"/>
          <w:numId w:val="2"/>
        </w:numPr>
        <w:spacing w:before="0" w:after="0"/>
        <w:jc w:val="both"/>
      </w:pPr>
      <w:r>
        <w:t>The degree of any risks posed</w:t>
      </w:r>
      <w:r w:rsidR="00C72E95">
        <w:t>.</w:t>
      </w:r>
    </w:p>
    <w:p w14:paraId="6B5E61E5" w14:textId="49D2F8B4" w:rsidR="002E5A58" w:rsidRDefault="002E5A58" w:rsidP="00400E44">
      <w:pPr>
        <w:numPr>
          <w:ilvl w:val="0"/>
          <w:numId w:val="2"/>
        </w:numPr>
        <w:spacing w:before="0" w:after="0"/>
        <w:jc w:val="both"/>
      </w:pPr>
      <w:r>
        <w:t>The seriousness of any breach of the law</w:t>
      </w:r>
      <w:r w:rsidR="00C72E95">
        <w:t>.</w:t>
      </w:r>
    </w:p>
    <w:p w14:paraId="1EDE8149" w14:textId="7A95AF72" w:rsidR="002E5A58" w:rsidRDefault="002E5A58" w:rsidP="00400E44">
      <w:pPr>
        <w:numPr>
          <w:ilvl w:val="0"/>
          <w:numId w:val="2"/>
        </w:numPr>
        <w:spacing w:before="0" w:after="0"/>
        <w:jc w:val="both"/>
      </w:pPr>
      <w:r>
        <w:t>The burden which would be placed on the business in taking action, compared with the benefit of risk reduction</w:t>
      </w:r>
      <w:r w:rsidR="00C72E95">
        <w:t>.</w:t>
      </w:r>
    </w:p>
    <w:p w14:paraId="591280FE" w14:textId="13F264DA" w:rsidR="002E5A58" w:rsidRDefault="002E5A58" w:rsidP="00400E44">
      <w:pPr>
        <w:numPr>
          <w:ilvl w:val="0"/>
          <w:numId w:val="2"/>
        </w:numPr>
        <w:spacing w:before="0" w:after="0"/>
        <w:jc w:val="both"/>
      </w:pPr>
      <w:r>
        <w:t>The attitude and intent of the offender</w:t>
      </w:r>
      <w:r w:rsidR="00C72E95">
        <w:t>.</w:t>
      </w:r>
    </w:p>
    <w:p w14:paraId="35EB884F" w14:textId="1E846DE7" w:rsidR="002E5A58" w:rsidRDefault="000A2C7F" w:rsidP="00400E44">
      <w:pPr>
        <w:numPr>
          <w:ilvl w:val="0"/>
          <w:numId w:val="2"/>
        </w:numPr>
        <w:spacing w:before="0" w:after="0"/>
        <w:jc w:val="both"/>
      </w:pPr>
      <w:r>
        <w:t>Foreseeability</w:t>
      </w:r>
      <w:r w:rsidR="002E5A58">
        <w:t xml:space="preserve"> of the offence or circumstances leading to it</w:t>
      </w:r>
      <w:r w:rsidR="00C72E95">
        <w:t>.</w:t>
      </w:r>
    </w:p>
    <w:p w14:paraId="27D91817" w14:textId="3A85E4BD" w:rsidR="002E5A58" w:rsidRDefault="002E5A58" w:rsidP="00400E44">
      <w:pPr>
        <w:numPr>
          <w:ilvl w:val="0"/>
          <w:numId w:val="2"/>
        </w:numPr>
        <w:spacing w:before="0" w:after="0"/>
        <w:jc w:val="both"/>
      </w:pPr>
      <w:r>
        <w:t>Relevant good practices as obtained in the codes of practice and published guidance</w:t>
      </w:r>
      <w:r w:rsidR="00C72E95">
        <w:t>.</w:t>
      </w:r>
    </w:p>
    <w:p w14:paraId="4E7DF894" w14:textId="77777777" w:rsidR="002E5A58" w:rsidRPr="001D1F9B" w:rsidRDefault="002E5A58" w:rsidP="00400E44">
      <w:pPr>
        <w:pStyle w:val="Heading1"/>
        <w:jc w:val="both"/>
      </w:pPr>
      <w:bookmarkStart w:id="10" w:name="_Toc417480998"/>
      <w:r w:rsidRPr="001D1F9B">
        <w:t>Consistency</w:t>
      </w:r>
      <w:bookmarkEnd w:id="10"/>
    </w:p>
    <w:p w14:paraId="51B637E1" w14:textId="77777777" w:rsidR="002E5A58" w:rsidRDefault="002E5A58" w:rsidP="00400E44">
      <w:pPr>
        <w:spacing w:after="0"/>
        <w:jc w:val="both"/>
      </w:pPr>
      <w:r>
        <w:t>The Council aims to ensure consistency in advice tendered, the response to incidents and complaints, the use of all powers and decisions on whether to prosecute.</w:t>
      </w:r>
    </w:p>
    <w:p w14:paraId="568AA514" w14:textId="77777777" w:rsidR="002E5A58" w:rsidRDefault="002E5A58" w:rsidP="00400E44">
      <w:pPr>
        <w:spacing w:after="0"/>
        <w:jc w:val="both"/>
      </w:pPr>
      <w:r>
        <w:t xml:space="preserve">The Council </w:t>
      </w:r>
      <w:proofErr w:type="spellStart"/>
      <w:r>
        <w:t>recognises</w:t>
      </w:r>
      <w:proofErr w:type="spellEnd"/>
      <w:r>
        <w:t xml:space="preserve"> that consistency does not mean simple uniformity.  Officers need to take into account many variables, the scale of the environmental impact etc</w:t>
      </w:r>
      <w:r w:rsidR="002553F3">
        <w:t>.</w:t>
      </w:r>
      <w:r>
        <w:t>,</w:t>
      </w:r>
      <w:r w:rsidRPr="00F878F1">
        <w:t xml:space="preserve"> </w:t>
      </w:r>
      <w:r>
        <w:t>the attitude and actions of the offenders and the history of previous incidents or breaches. Decisions on enforcement action are a matter of professional judgment and the Council, through its officers, needs to exercise discretion.  The Council will continue to develop arrangements to promote consistency including effective arrangements for liaison with other enforcing authorities.</w:t>
      </w:r>
    </w:p>
    <w:p w14:paraId="1FEBD126" w14:textId="77777777" w:rsidR="002E5A58" w:rsidRDefault="002E5A58" w:rsidP="00400E44">
      <w:pPr>
        <w:pStyle w:val="Heading1"/>
        <w:jc w:val="both"/>
      </w:pPr>
      <w:bookmarkStart w:id="11" w:name="_Toc417480999"/>
      <w:r>
        <w:t>Transparency</w:t>
      </w:r>
      <w:bookmarkEnd w:id="11"/>
    </w:p>
    <w:p w14:paraId="34C37353" w14:textId="3A2900A0" w:rsidR="002E5A58" w:rsidRDefault="002E5A58" w:rsidP="00E53CA1">
      <w:pPr>
        <w:spacing w:after="0"/>
      </w:pPr>
      <w:r>
        <w:t>Transparency is important in maintaining public confidence in the Council’s ability to regulate. It is an integral part of the role of Council Officers and the Council continues to tra</w:t>
      </w:r>
      <w:r w:rsidR="00E53CA1">
        <w:t xml:space="preserve">in its staff and to develop its </w:t>
      </w:r>
      <w:r w:rsidR="00C72E95">
        <w:t>procedures to ensure that;</w:t>
      </w:r>
      <w:r>
        <w:br/>
      </w:r>
    </w:p>
    <w:p w14:paraId="492C0CCC" w14:textId="425A88CF" w:rsidR="002E5A58" w:rsidRDefault="002E5A58" w:rsidP="00400E44">
      <w:pPr>
        <w:numPr>
          <w:ilvl w:val="0"/>
          <w:numId w:val="3"/>
        </w:numPr>
        <w:spacing w:before="0" w:after="0"/>
        <w:jc w:val="both"/>
      </w:pPr>
      <w:r>
        <w:lastRenderedPageBreak/>
        <w:t xml:space="preserve">Where remedial action is required, it is clearly explained </w:t>
      </w:r>
      <w:r w:rsidR="00E142C5">
        <w:t>in writing</w:t>
      </w:r>
      <w:r w:rsidR="009D350F">
        <w:t xml:space="preserve"> </w:t>
      </w:r>
      <w:r>
        <w:t>why the action is necessary and when it must be carried out; a distinction being made between legal requirements and advice on best practice.</w:t>
      </w:r>
    </w:p>
    <w:p w14:paraId="39F3B930" w14:textId="1D23BBB7" w:rsidR="002E5A58" w:rsidRDefault="002E5A58" w:rsidP="00400E44">
      <w:pPr>
        <w:numPr>
          <w:ilvl w:val="0"/>
          <w:numId w:val="3"/>
        </w:numPr>
        <w:spacing w:before="0" w:after="0"/>
        <w:jc w:val="both"/>
      </w:pPr>
      <w:r>
        <w:t>Opportunity is provided to discuss what is required to comply with the law before formal enforcement action is taken, unless urgent action is required, for example to prevent serious illness/injury or to prevent evidence being destroyed.</w:t>
      </w:r>
    </w:p>
    <w:p w14:paraId="5614406D" w14:textId="77777777" w:rsidR="002E5A58" w:rsidRDefault="002E5A58" w:rsidP="00400E44">
      <w:pPr>
        <w:numPr>
          <w:ilvl w:val="0"/>
          <w:numId w:val="3"/>
        </w:numPr>
        <w:spacing w:before="0" w:after="0"/>
        <w:jc w:val="both"/>
      </w:pPr>
      <w:r>
        <w:t>Where urgent action is required, a written explanation of the reasons is provided as soon as practicable after the event.</w:t>
      </w:r>
    </w:p>
    <w:p w14:paraId="61F87534" w14:textId="77777777" w:rsidR="002E5A58" w:rsidRDefault="002E5A58" w:rsidP="00400E44">
      <w:pPr>
        <w:numPr>
          <w:ilvl w:val="0"/>
          <w:numId w:val="3"/>
        </w:numPr>
        <w:spacing w:before="0" w:after="0"/>
        <w:jc w:val="both"/>
      </w:pPr>
      <w:r>
        <w:t>Written explanation is given of all rights of appeal against formal enforcement action at the time the action is taken.</w:t>
      </w:r>
    </w:p>
    <w:p w14:paraId="13B54367" w14:textId="263F385B" w:rsidR="002E5A58" w:rsidRDefault="002E5A58" w:rsidP="00400E44">
      <w:pPr>
        <w:numPr>
          <w:ilvl w:val="0"/>
          <w:numId w:val="3"/>
        </w:numPr>
        <w:spacing w:before="0" w:after="0"/>
        <w:jc w:val="both"/>
      </w:pPr>
      <w:r>
        <w:t>Having due regard to legal constraints and requirements, keep relevant parties informed during investigations and with respect to enforcement decisions.</w:t>
      </w:r>
    </w:p>
    <w:p w14:paraId="2BE79565" w14:textId="77777777" w:rsidR="002E5A58" w:rsidRDefault="002E5A58" w:rsidP="00400E44">
      <w:pPr>
        <w:spacing w:after="0"/>
        <w:jc w:val="both"/>
        <w:rPr>
          <w:b/>
        </w:rPr>
      </w:pPr>
    </w:p>
    <w:p w14:paraId="6E5B0866" w14:textId="77777777" w:rsidR="002E5A58" w:rsidRDefault="002E5A58" w:rsidP="00400E44">
      <w:pPr>
        <w:pStyle w:val="Heading1"/>
        <w:jc w:val="both"/>
      </w:pPr>
      <w:bookmarkStart w:id="12" w:name="_Toc417481000"/>
      <w:r>
        <w:t>Targeting</w:t>
      </w:r>
      <w:bookmarkEnd w:id="12"/>
    </w:p>
    <w:p w14:paraId="355E208D" w14:textId="6261B5A7" w:rsidR="002E5A58" w:rsidRDefault="002E5A58" w:rsidP="00400E44">
      <w:pPr>
        <w:jc w:val="both"/>
      </w:pPr>
      <w:r>
        <w:t xml:space="preserve">Action will primarily be focused on law-breakers </w:t>
      </w:r>
      <w:r w:rsidR="00E142C5">
        <w:t>and/</w:t>
      </w:r>
      <w:r>
        <w:t>or those directly responsible for the risk and who are best placed to control it.  The Council will have systems for deciding which inspections, investigations or other regulatory contacts should take priority according to the nature and extent of the risks posed.</w:t>
      </w:r>
    </w:p>
    <w:p w14:paraId="77137F7C" w14:textId="77777777" w:rsidR="002E5A58" w:rsidRDefault="002E5A58" w:rsidP="00400E44">
      <w:pPr>
        <w:pStyle w:val="Heading1"/>
        <w:jc w:val="both"/>
      </w:pPr>
      <w:bookmarkStart w:id="13" w:name="_Toc417481001"/>
      <w:r>
        <w:t>Accountability</w:t>
      </w:r>
      <w:bookmarkEnd w:id="13"/>
    </w:p>
    <w:p w14:paraId="420EB614" w14:textId="03BA070F" w:rsidR="002E5A58" w:rsidRDefault="002E5A58" w:rsidP="00400E44">
      <w:pPr>
        <w:jc w:val="both"/>
      </w:pPr>
      <w:r>
        <w:t>The Council and its officers fully</w:t>
      </w:r>
      <w:r w:rsidRPr="009B1C62">
        <w:rPr>
          <w:lang w:val="en-GB"/>
        </w:rPr>
        <w:t xml:space="preserve"> recognise</w:t>
      </w:r>
      <w:r>
        <w:t xml:space="preserve"> that they are </w:t>
      </w:r>
      <w:r w:rsidR="00E142C5">
        <w:t xml:space="preserve">publicly </w:t>
      </w:r>
      <w:r>
        <w:t xml:space="preserve">accountable for their actions.  Consequently policies and standards have been put in place against which the Council’s actions can be judged and procedures exist for dealing with </w:t>
      </w:r>
      <w:r w:rsidR="00C31180">
        <w:t xml:space="preserve">feedback </w:t>
      </w:r>
      <w:r>
        <w:t>and handling complaints.  In addition the Council will comply with legislation that protects the rights of persons subject to legal action, which controls how evidence against offenders may be obtained and which preserves the confidentiality of personal information. Particular consideration will be given to The Human Rights Act 1998, The Data Protection Act 1998, the Regulation of Investigatory Powers Act 2000 and the Crime and Disorder Act 1998.</w:t>
      </w:r>
    </w:p>
    <w:p w14:paraId="496BE4D2" w14:textId="77777777" w:rsidR="002E5A58" w:rsidRDefault="002E5A58" w:rsidP="00400E44">
      <w:pPr>
        <w:jc w:val="both"/>
      </w:pPr>
      <w:r>
        <w:t>In the event that the customer is dissatisfied with the Service provided, there are a number of forms of recourse available as outlined below, which officers will ensure the customer is aware of. The exact procedure followed in any particular case will depend not only on the nature of the grievance itself but also the course of action the complainant wishes to pursue.</w:t>
      </w:r>
    </w:p>
    <w:p w14:paraId="4B363809" w14:textId="77777777" w:rsidR="002E5A58" w:rsidRPr="00540129" w:rsidRDefault="002E5A58" w:rsidP="00400E44">
      <w:pPr>
        <w:numPr>
          <w:ilvl w:val="0"/>
          <w:numId w:val="4"/>
        </w:numPr>
        <w:spacing w:before="0"/>
        <w:jc w:val="both"/>
        <w:rPr>
          <w:i/>
        </w:rPr>
      </w:pPr>
      <w:r w:rsidRPr="00540129">
        <w:rPr>
          <w:i/>
        </w:rPr>
        <w:t>Complaints related to the enforcement action decisions</w:t>
      </w:r>
    </w:p>
    <w:p w14:paraId="1990CD19" w14:textId="7B96DE09" w:rsidR="000A2C7F" w:rsidRDefault="002E5A58" w:rsidP="00F71FE0">
      <w:pPr>
        <w:spacing w:before="0" w:after="0"/>
        <w:ind w:left="360"/>
        <w:jc w:val="both"/>
      </w:pPr>
      <w:r>
        <w:t xml:space="preserve">Officers will when serving notices provide with those notices appeal details to be used </w:t>
      </w:r>
      <w:r w:rsidR="002B7B05">
        <w:t xml:space="preserve">and </w:t>
      </w:r>
      <w:r>
        <w:t>should the recipient wish to</w:t>
      </w:r>
      <w:r w:rsidR="000A2C7F">
        <w:t xml:space="preserve"> disagree they can follow the appeals process for the said notice.</w:t>
      </w:r>
    </w:p>
    <w:p w14:paraId="5B8BC3FE" w14:textId="77777777" w:rsidR="000A2C7F" w:rsidRPr="00F71FE0" w:rsidRDefault="000A2C7F" w:rsidP="00F71FE0">
      <w:pPr>
        <w:spacing w:before="0" w:after="0"/>
        <w:ind w:left="360"/>
        <w:jc w:val="both"/>
        <w:rPr>
          <w:vanish/>
        </w:rPr>
      </w:pPr>
    </w:p>
    <w:p w14:paraId="6DA9C7D4" w14:textId="3D5B6CBC" w:rsidR="002E5A58" w:rsidRDefault="002E5A58" w:rsidP="00400E44">
      <w:pPr>
        <w:numPr>
          <w:ilvl w:val="0"/>
          <w:numId w:val="13"/>
        </w:numPr>
        <w:spacing w:before="0" w:after="0"/>
        <w:jc w:val="both"/>
        <w:rPr>
          <w:i/>
        </w:rPr>
      </w:pPr>
      <w:r w:rsidRPr="00A65A5A">
        <w:rPr>
          <w:i/>
        </w:rPr>
        <w:t>Complaints relating to issues other than enforcement decisions</w:t>
      </w:r>
    </w:p>
    <w:p w14:paraId="2563F432" w14:textId="303F21EB" w:rsidR="002E5A58" w:rsidRDefault="002E5A58" w:rsidP="00400E44">
      <w:pPr>
        <w:ind w:left="720"/>
        <w:jc w:val="both"/>
      </w:pPr>
      <w:r>
        <w:t>The Council’s formal complaints procedure will be used to investigate those complaints which relate to dissatisfaction with the service, for example</w:t>
      </w:r>
      <w:r w:rsidR="00C72E95">
        <w:t>;</w:t>
      </w:r>
    </w:p>
    <w:p w14:paraId="069BF676" w14:textId="71AF3276" w:rsidR="002E5A58" w:rsidRPr="00823533" w:rsidRDefault="002E5A58" w:rsidP="00400E44">
      <w:pPr>
        <w:numPr>
          <w:ilvl w:val="0"/>
          <w:numId w:val="5"/>
        </w:numPr>
        <w:spacing w:before="0" w:after="0"/>
        <w:jc w:val="both"/>
      </w:pPr>
      <w:r w:rsidRPr="00823533">
        <w:lastRenderedPageBreak/>
        <w:t>Failure to follow Council procedure, policy or standards</w:t>
      </w:r>
      <w:r w:rsidR="00C72E95">
        <w:t>.</w:t>
      </w:r>
    </w:p>
    <w:p w14:paraId="284ACD9B" w14:textId="1D522C0A" w:rsidR="002E5A58" w:rsidRPr="00823533" w:rsidRDefault="00C31180" w:rsidP="00400E44">
      <w:pPr>
        <w:numPr>
          <w:ilvl w:val="0"/>
          <w:numId w:val="5"/>
        </w:numPr>
        <w:spacing w:before="0" w:after="0"/>
        <w:jc w:val="both"/>
        <w:rPr>
          <w:i/>
        </w:rPr>
      </w:pPr>
      <w:r>
        <w:t>Alleged discrimination</w:t>
      </w:r>
      <w:r w:rsidR="00C72E95">
        <w:t>.</w:t>
      </w:r>
    </w:p>
    <w:p w14:paraId="58BE8AC0" w14:textId="2AA825F4" w:rsidR="002E5A58" w:rsidRPr="00823533" w:rsidRDefault="002E5A58" w:rsidP="00400E44">
      <w:pPr>
        <w:numPr>
          <w:ilvl w:val="0"/>
          <w:numId w:val="5"/>
        </w:numPr>
        <w:spacing w:before="0" w:after="0"/>
        <w:jc w:val="both"/>
        <w:rPr>
          <w:i/>
        </w:rPr>
      </w:pPr>
      <w:r>
        <w:t>Failure to respond to requests for service</w:t>
      </w:r>
      <w:r w:rsidR="00C72E95">
        <w:t>.</w:t>
      </w:r>
    </w:p>
    <w:p w14:paraId="20DDC09E" w14:textId="77777777" w:rsidR="002E5A58" w:rsidRPr="00467113" w:rsidRDefault="002E5A58" w:rsidP="00400E44">
      <w:pPr>
        <w:numPr>
          <w:ilvl w:val="0"/>
          <w:numId w:val="5"/>
        </w:numPr>
        <w:spacing w:before="0" w:after="0"/>
        <w:jc w:val="both"/>
        <w:rPr>
          <w:i/>
        </w:rPr>
      </w:pPr>
      <w:r>
        <w:t xml:space="preserve">Conduct of </w:t>
      </w:r>
      <w:proofErr w:type="spellStart"/>
      <w:r>
        <w:t>Authorised</w:t>
      </w:r>
      <w:proofErr w:type="spellEnd"/>
      <w:r>
        <w:t xml:space="preserve"> officers.</w:t>
      </w:r>
    </w:p>
    <w:p w14:paraId="76333135" w14:textId="2FF2861C" w:rsidR="002E5A58" w:rsidRPr="00400E44" w:rsidRDefault="002E5A58" w:rsidP="00400E44">
      <w:pPr>
        <w:numPr>
          <w:ilvl w:val="0"/>
          <w:numId w:val="5"/>
        </w:numPr>
        <w:spacing w:before="0" w:after="0"/>
        <w:jc w:val="both"/>
        <w:rPr>
          <w:i/>
        </w:rPr>
      </w:pPr>
      <w:r>
        <w:t>A copy of the Council’s feedback policy can be found at www.scilly.gov.uk/complaints</w:t>
      </w:r>
      <w:r w:rsidR="00C72E95">
        <w:t>.</w:t>
      </w:r>
    </w:p>
    <w:p w14:paraId="24F3A6DB" w14:textId="77777777" w:rsidR="002E5A58" w:rsidRDefault="002E5A58" w:rsidP="00400E44">
      <w:pPr>
        <w:pStyle w:val="Heading1"/>
        <w:jc w:val="both"/>
      </w:pPr>
      <w:bookmarkStart w:id="14" w:name="_Toc417481002"/>
      <w:r>
        <w:t>Investigation</w:t>
      </w:r>
      <w:bookmarkEnd w:id="14"/>
    </w:p>
    <w:p w14:paraId="3254E8EA" w14:textId="61A54A86" w:rsidR="002E5A58" w:rsidRDefault="002E5A58" w:rsidP="00400E44">
      <w:pPr>
        <w:spacing w:after="0"/>
        <w:jc w:val="both"/>
      </w:pPr>
      <w:r w:rsidRPr="00823533">
        <w:t>The Council</w:t>
      </w:r>
      <w:r w:rsidRPr="009B1C62">
        <w:rPr>
          <w:lang w:val="en-GB"/>
        </w:rPr>
        <w:t xml:space="preserve"> recognises</w:t>
      </w:r>
      <w:r w:rsidRPr="00823533">
        <w:t xml:space="preserve"> that it is neither possible nor necessary to investigate all issue</w:t>
      </w:r>
      <w:r w:rsidR="001E4FCF">
        <w:t>s</w:t>
      </w:r>
      <w:r w:rsidRPr="00823533">
        <w:t xml:space="preserve"> of non-compliance with the law uncovered in the course of preventive inspection, or in the investigation of reported events such as accidents and</w:t>
      </w:r>
      <w:r>
        <w:t xml:space="preserve"> complaints. The Council will use its discretion and have regard to the aforementioned principles in deciding whether an investigation should be initiated and in deciding the level of resources to be committed.  The following factors will be taken into account</w:t>
      </w:r>
      <w:r w:rsidR="00C72E95">
        <w:t>;</w:t>
      </w:r>
      <w:r>
        <w:br/>
      </w:r>
    </w:p>
    <w:p w14:paraId="7E782C2D" w14:textId="4FCAE08D" w:rsidR="002E5A58" w:rsidRDefault="002E5A58" w:rsidP="00400E44">
      <w:pPr>
        <w:numPr>
          <w:ilvl w:val="0"/>
          <w:numId w:val="6"/>
        </w:numPr>
        <w:spacing w:before="0" w:after="0"/>
        <w:jc w:val="both"/>
      </w:pPr>
      <w:r>
        <w:t>The severity and scale of the potential or actual harm</w:t>
      </w:r>
      <w:r w:rsidR="00C72E95">
        <w:t>.</w:t>
      </w:r>
    </w:p>
    <w:p w14:paraId="6343AC03" w14:textId="7B960D88" w:rsidR="002E5A58" w:rsidRDefault="002E5A58" w:rsidP="00400E44">
      <w:pPr>
        <w:numPr>
          <w:ilvl w:val="0"/>
          <w:numId w:val="6"/>
        </w:numPr>
        <w:spacing w:before="0" w:after="0"/>
        <w:jc w:val="both"/>
      </w:pPr>
      <w:r>
        <w:t xml:space="preserve">The seriousness of any potential </w:t>
      </w:r>
      <w:r w:rsidR="002B7B05">
        <w:t xml:space="preserve">or actual </w:t>
      </w:r>
      <w:r>
        <w:t>breach of the law</w:t>
      </w:r>
      <w:r w:rsidR="00C72E95">
        <w:t>.</w:t>
      </w:r>
    </w:p>
    <w:p w14:paraId="2595BFAA" w14:textId="77A1E144" w:rsidR="002E5A58" w:rsidRDefault="002E5A58" w:rsidP="00400E44">
      <w:pPr>
        <w:numPr>
          <w:ilvl w:val="0"/>
          <w:numId w:val="6"/>
        </w:numPr>
        <w:spacing w:before="0" w:after="0"/>
        <w:jc w:val="both"/>
      </w:pPr>
      <w:r>
        <w:t>The enforcement priorities</w:t>
      </w:r>
      <w:r w:rsidR="00C72E95">
        <w:t>.</w:t>
      </w:r>
    </w:p>
    <w:p w14:paraId="7CE6AAE8" w14:textId="4697B22B" w:rsidR="002E5A58" w:rsidRDefault="002E5A58" w:rsidP="00400E44">
      <w:pPr>
        <w:numPr>
          <w:ilvl w:val="0"/>
          <w:numId w:val="6"/>
        </w:numPr>
        <w:spacing w:before="0" w:after="0"/>
        <w:jc w:val="both"/>
      </w:pPr>
      <w:r>
        <w:t>The practicality of achieving results</w:t>
      </w:r>
      <w:r w:rsidR="00C72E95">
        <w:t>.</w:t>
      </w:r>
    </w:p>
    <w:p w14:paraId="42075936" w14:textId="77777777" w:rsidR="002E5A58" w:rsidRDefault="002E5A58" w:rsidP="00400E44">
      <w:pPr>
        <w:pStyle w:val="Heading1"/>
        <w:jc w:val="both"/>
      </w:pPr>
      <w:bookmarkStart w:id="15" w:name="_Toc417481003"/>
      <w:r>
        <w:t>Confidentiality</w:t>
      </w:r>
      <w:bookmarkEnd w:id="15"/>
    </w:p>
    <w:p w14:paraId="2EF634B3" w14:textId="760F7BCC" w:rsidR="002E5A58" w:rsidRDefault="002E5A58" w:rsidP="00400E44">
      <w:pPr>
        <w:jc w:val="both"/>
      </w:pPr>
      <w:r>
        <w:t xml:space="preserve">The Council understands that people making complaints may not wish their identity to be made known to the party about whom the complaint is being made and wherever possible we will take care to protect the confidentiality of complainants. However in some circumstances, papers relating to individual cases may be in the public domain. If this is the case we will </w:t>
      </w:r>
      <w:proofErr w:type="spellStart"/>
      <w:r>
        <w:t>endeavour</w:t>
      </w:r>
      <w:proofErr w:type="spellEnd"/>
      <w:r>
        <w:t xml:space="preserve"> to make it clear whether or not complainant confidentiality can be maintained.  Anonymous complaints will </w:t>
      </w:r>
      <w:r w:rsidR="005871E8">
        <w:t xml:space="preserve">only </w:t>
      </w:r>
      <w:r>
        <w:t xml:space="preserve">be investigated </w:t>
      </w:r>
      <w:r w:rsidR="005871E8">
        <w:t>if it would be</w:t>
      </w:r>
      <w:r>
        <w:t xml:space="preserve"> in the public interest</w:t>
      </w:r>
      <w:r w:rsidR="00290372">
        <w:t xml:space="preserve"> and directed to their local member who can make representation on their behalf.</w:t>
      </w:r>
      <w:r w:rsidR="00C36D51">
        <w:t xml:space="preserve"> </w:t>
      </w:r>
      <w:r>
        <w:t xml:space="preserve"> </w:t>
      </w:r>
    </w:p>
    <w:p w14:paraId="365086D4" w14:textId="77777777" w:rsidR="002E5A58" w:rsidRDefault="002E5A58" w:rsidP="00400E44">
      <w:pPr>
        <w:pStyle w:val="Heading1"/>
        <w:jc w:val="both"/>
      </w:pPr>
      <w:bookmarkStart w:id="16" w:name="_Toc417481004"/>
      <w:r>
        <w:t>Levels of Enforcement Action</w:t>
      </w:r>
      <w:bookmarkEnd w:id="16"/>
    </w:p>
    <w:p w14:paraId="4A5137A6" w14:textId="77777777" w:rsidR="002E5A58" w:rsidRPr="00E2379B" w:rsidRDefault="002E5A58" w:rsidP="00400E44">
      <w:pPr>
        <w:jc w:val="both"/>
      </w:pPr>
      <w:r w:rsidRPr="008D3E34">
        <w:t xml:space="preserve">The Council </w:t>
      </w:r>
      <w:proofErr w:type="spellStart"/>
      <w:r w:rsidRPr="008D3E34">
        <w:t>recognises</w:t>
      </w:r>
      <w:proofErr w:type="spellEnd"/>
      <w:r w:rsidRPr="008D3E34">
        <w:t xml:space="preserve"> that the first step in enforcement is to prevent contraventions of the law by raising awareness and promoting good practice. Methods of achieving this include training courses, special events, production of guidance leaflets, issue of press releases and opportunities presented by contact with businesses and other customers.</w:t>
      </w:r>
    </w:p>
    <w:p w14:paraId="28D0C3D5" w14:textId="09EEA293" w:rsidR="002E5A58" w:rsidRDefault="002E5A58" w:rsidP="00400E44">
      <w:pPr>
        <w:jc w:val="both"/>
      </w:pPr>
      <w:r>
        <w:t>In the event that breaches of legislation are discovered officers will determine what, if any, enforcement action is appropriate, in accordance with the aforementioned principles.  The following informal and formal options are available</w:t>
      </w:r>
      <w:r w:rsidR="00CB670C">
        <w:t>;</w:t>
      </w:r>
    </w:p>
    <w:p w14:paraId="6BF584C3" w14:textId="77777777" w:rsidR="002E5A58" w:rsidRDefault="002E5A58" w:rsidP="00400E44">
      <w:pPr>
        <w:pStyle w:val="Heading1"/>
        <w:jc w:val="both"/>
      </w:pPr>
      <w:bookmarkStart w:id="17" w:name="_Toc417481005"/>
      <w:r>
        <w:t>Informal Action</w:t>
      </w:r>
      <w:bookmarkEnd w:id="17"/>
    </w:p>
    <w:p w14:paraId="44F32A7F" w14:textId="5B25839B" w:rsidR="002E5A58" w:rsidRDefault="002E5A58" w:rsidP="00400E44">
      <w:pPr>
        <w:jc w:val="both"/>
      </w:pPr>
      <w:r>
        <w:t xml:space="preserve">The Council </w:t>
      </w:r>
      <w:proofErr w:type="spellStart"/>
      <w:r>
        <w:t>recognises</w:t>
      </w:r>
      <w:proofErr w:type="spellEnd"/>
      <w:r>
        <w:t xml:space="preserve"> informal action as one means to secure compliance with the law. Informal action includes</w:t>
      </w:r>
      <w:r w:rsidR="00CB670C">
        <w:t>;</w:t>
      </w:r>
    </w:p>
    <w:p w14:paraId="3FB21524" w14:textId="2633B506" w:rsidR="002E5A58" w:rsidRDefault="002E5A58" w:rsidP="00400E44">
      <w:pPr>
        <w:numPr>
          <w:ilvl w:val="0"/>
          <w:numId w:val="7"/>
        </w:numPr>
        <w:spacing w:before="0" w:after="0"/>
        <w:jc w:val="both"/>
      </w:pPr>
      <w:r>
        <w:lastRenderedPageBreak/>
        <w:t>Verbal advice/warning</w:t>
      </w:r>
      <w:r w:rsidR="00CB670C">
        <w:t>.</w:t>
      </w:r>
    </w:p>
    <w:p w14:paraId="2DE1D91A" w14:textId="6B0B9955" w:rsidR="002E5A58" w:rsidRDefault="002E5A58" w:rsidP="00400E44">
      <w:pPr>
        <w:numPr>
          <w:ilvl w:val="0"/>
          <w:numId w:val="7"/>
        </w:numPr>
        <w:spacing w:before="0" w:after="0"/>
        <w:jc w:val="both"/>
      </w:pPr>
      <w:r>
        <w:t>Advisory letter where advice is being confirmed or remedial action requested informally</w:t>
      </w:r>
      <w:r w:rsidR="00CB670C">
        <w:t>.</w:t>
      </w:r>
    </w:p>
    <w:p w14:paraId="4C5277D0" w14:textId="77777777" w:rsidR="002E5A58" w:rsidRDefault="002E5A58" w:rsidP="00400E44">
      <w:pPr>
        <w:numPr>
          <w:ilvl w:val="0"/>
          <w:numId w:val="7"/>
        </w:numPr>
        <w:spacing w:before="0" w:after="0"/>
        <w:jc w:val="both"/>
      </w:pPr>
      <w:r>
        <w:t>Inspection reports generated on the premises following an inspection.</w:t>
      </w:r>
    </w:p>
    <w:p w14:paraId="12CB3757" w14:textId="5A4DE7CB" w:rsidR="002E5A58" w:rsidRDefault="002E5A58" w:rsidP="00AE7342">
      <w:pPr>
        <w:spacing w:after="0"/>
      </w:pPr>
      <w:r>
        <w:t>Informal action is appropriate in the following circumstances</w:t>
      </w:r>
      <w:r w:rsidR="00CB670C">
        <w:t>;</w:t>
      </w:r>
      <w:r>
        <w:br/>
      </w:r>
    </w:p>
    <w:p w14:paraId="1916B0BE" w14:textId="7250300B" w:rsidR="002E5A58" w:rsidRDefault="002E5A58" w:rsidP="00400E44">
      <w:pPr>
        <w:numPr>
          <w:ilvl w:val="0"/>
          <w:numId w:val="8"/>
        </w:numPr>
        <w:spacing w:before="0" w:after="0"/>
        <w:jc w:val="both"/>
      </w:pPr>
      <w:r>
        <w:t>Where the action or omission is not serious enough to warrant formal action</w:t>
      </w:r>
      <w:r w:rsidR="00CB670C">
        <w:t>.</w:t>
      </w:r>
    </w:p>
    <w:p w14:paraId="16871BFA" w14:textId="223F1EA3" w:rsidR="002E5A58" w:rsidRDefault="002E5A58" w:rsidP="00400E44">
      <w:pPr>
        <w:numPr>
          <w:ilvl w:val="0"/>
          <w:numId w:val="8"/>
        </w:numPr>
        <w:spacing w:before="0" w:after="0"/>
        <w:jc w:val="both"/>
      </w:pPr>
      <w:r>
        <w:t>From the individual/enterprise’s management, it can reasonably be expected that informal action will achieve compliance</w:t>
      </w:r>
      <w:r w:rsidR="00CB670C">
        <w:t>.</w:t>
      </w:r>
    </w:p>
    <w:p w14:paraId="58490D13" w14:textId="7C8EF47E" w:rsidR="002E5A58" w:rsidRDefault="002E5A58" w:rsidP="00400E44">
      <w:pPr>
        <w:numPr>
          <w:ilvl w:val="0"/>
          <w:numId w:val="8"/>
        </w:numPr>
        <w:spacing w:before="0" w:after="0"/>
        <w:jc w:val="both"/>
      </w:pPr>
      <w:r>
        <w:t>Confidence in the individua</w:t>
      </w:r>
      <w:r w:rsidR="00CE67FC">
        <w:t>l</w:t>
      </w:r>
      <w:r w:rsidR="008A7B64">
        <w:t>/</w:t>
      </w:r>
      <w:r>
        <w:t>enterprise’s management involved is high</w:t>
      </w:r>
      <w:r w:rsidR="00CB670C">
        <w:t>.</w:t>
      </w:r>
    </w:p>
    <w:p w14:paraId="05878825" w14:textId="507FC70C" w:rsidR="002E5A58" w:rsidRDefault="002E5A58" w:rsidP="00400E44">
      <w:pPr>
        <w:numPr>
          <w:ilvl w:val="0"/>
          <w:numId w:val="8"/>
        </w:numPr>
        <w:spacing w:before="0" w:after="0"/>
        <w:jc w:val="both"/>
      </w:pPr>
      <w:r>
        <w:t>The consequences of non-compliance will not pose a significant risk to public health</w:t>
      </w:r>
      <w:r w:rsidR="00CB670C">
        <w:t>.</w:t>
      </w:r>
    </w:p>
    <w:p w14:paraId="3B7E98AE" w14:textId="77777777" w:rsidR="002E5A58" w:rsidRDefault="002E5A58" w:rsidP="00400E44">
      <w:pPr>
        <w:pStyle w:val="Heading1"/>
        <w:jc w:val="both"/>
      </w:pPr>
      <w:bookmarkStart w:id="18" w:name="_Toc417481006"/>
      <w:r>
        <w:t>Formal Action</w:t>
      </w:r>
      <w:bookmarkEnd w:id="18"/>
    </w:p>
    <w:p w14:paraId="02B42F9E" w14:textId="2E09C6B4" w:rsidR="002E5A58" w:rsidRDefault="002E5A58" w:rsidP="00400E44">
      <w:pPr>
        <w:jc w:val="both"/>
      </w:pPr>
      <w:r>
        <w:t>In cases where informal action has failed to achieve the necessary outcome or the breach is serious enough to warrant formal action in its own right, the following enforcement options will be considered</w:t>
      </w:r>
      <w:r w:rsidR="00CB670C">
        <w:t>;</w:t>
      </w:r>
    </w:p>
    <w:p w14:paraId="55938329" w14:textId="346054CE" w:rsidR="002E5A58" w:rsidRDefault="002E5A58" w:rsidP="00DB50C1">
      <w:pPr>
        <w:numPr>
          <w:ilvl w:val="0"/>
          <w:numId w:val="9"/>
        </w:numPr>
        <w:spacing w:before="0"/>
      </w:pPr>
      <w:r>
        <w:t>Enforcement Notice.</w:t>
      </w:r>
      <w:r>
        <w:br/>
        <w:t>For example Improvement Notice, Prohibition Notice or Abatement Notice. In certain cases these may be needed to be served prior to legal proceedings being instigated.  The Council will give due consideration to the issue of enforcement notices as soon as the necessary evidence is available and where one or more of the following criteria apply</w:t>
      </w:r>
      <w:r w:rsidR="00CB670C">
        <w:t>;</w:t>
      </w:r>
    </w:p>
    <w:p w14:paraId="171B8FAB" w14:textId="77777777" w:rsidR="002E5A58" w:rsidRDefault="002E5A58" w:rsidP="00400E44">
      <w:pPr>
        <w:numPr>
          <w:ilvl w:val="2"/>
          <w:numId w:val="9"/>
        </w:numPr>
        <w:spacing w:before="0" w:after="0"/>
        <w:ind w:left="1418" w:hanging="142"/>
        <w:jc w:val="both"/>
      </w:pPr>
      <w:r>
        <w:t>The specific legislation requires that a notice shall be served when circumstances leading to the existence of a statutory nuisance have been proved.</w:t>
      </w:r>
    </w:p>
    <w:p w14:paraId="17636073" w14:textId="77777777" w:rsidR="002E5A58" w:rsidRDefault="002E5A58" w:rsidP="00400E44">
      <w:pPr>
        <w:numPr>
          <w:ilvl w:val="2"/>
          <w:numId w:val="9"/>
        </w:numPr>
        <w:spacing w:before="0" w:after="0"/>
        <w:ind w:left="1418" w:hanging="142"/>
        <w:jc w:val="both"/>
      </w:pPr>
      <w:r>
        <w:t>There are significant contraventions of legislation.</w:t>
      </w:r>
    </w:p>
    <w:p w14:paraId="5A77E0A3" w14:textId="77777777" w:rsidR="002E5A58" w:rsidRDefault="002E5A58" w:rsidP="00400E44">
      <w:pPr>
        <w:numPr>
          <w:ilvl w:val="2"/>
          <w:numId w:val="9"/>
        </w:numPr>
        <w:spacing w:before="0" w:after="0"/>
        <w:ind w:left="1418" w:hanging="142"/>
        <w:jc w:val="both"/>
      </w:pPr>
      <w:r>
        <w:t>There is a lack of confidence in the proprietor or enterprise to respond to an informal approach.</w:t>
      </w:r>
    </w:p>
    <w:p w14:paraId="43F1A448" w14:textId="77777777" w:rsidR="002E5A58" w:rsidRDefault="002E5A58" w:rsidP="00400E44">
      <w:pPr>
        <w:numPr>
          <w:ilvl w:val="2"/>
          <w:numId w:val="9"/>
        </w:numPr>
        <w:spacing w:before="0" w:after="0"/>
        <w:ind w:left="1418" w:hanging="142"/>
        <w:jc w:val="both"/>
      </w:pPr>
      <w:r>
        <w:t>There is a history of non-compliance with informal action.</w:t>
      </w:r>
    </w:p>
    <w:p w14:paraId="28383A8B" w14:textId="60372E44" w:rsidR="002E5A58" w:rsidRDefault="002E5A58" w:rsidP="00400E44">
      <w:pPr>
        <w:numPr>
          <w:ilvl w:val="2"/>
          <w:numId w:val="9"/>
        </w:numPr>
        <w:spacing w:before="0" w:after="0"/>
        <w:ind w:left="1418" w:hanging="142"/>
        <w:jc w:val="both"/>
      </w:pPr>
      <w:r>
        <w:t>Standards</w:t>
      </w:r>
      <w:r w:rsidR="00794E14">
        <w:t xml:space="preserve"> </w:t>
      </w:r>
      <w:r>
        <w:t>are generally poor with little management awareness of statutory requirements.</w:t>
      </w:r>
      <w:r>
        <w:br/>
      </w:r>
    </w:p>
    <w:p w14:paraId="102ABEEA" w14:textId="0DF5AEA0" w:rsidR="002E5A58" w:rsidRDefault="002E5A58" w:rsidP="00DB50C1">
      <w:pPr>
        <w:numPr>
          <w:ilvl w:val="0"/>
          <w:numId w:val="9"/>
        </w:numPr>
        <w:spacing w:before="0" w:after="0"/>
      </w:pPr>
      <w:r>
        <w:t>Fixed Penalty Notice.</w:t>
      </w:r>
      <w:r>
        <w:br/>
        <w:t>Where this enforcement option is available under legislation, a Fixed Penalty Notice will be issued in line with the principles of proportionality, targeting and consistency.  The Council will seek to avoid wherever possible issuing fixed penalty notices to anyone under the age of 18.  The Council will work to prevent offending by young people by undertaking the following</w:t>
      </w:r>
      <w:r w:rsidR="00CB670C">
        <w:t>;</w:t>
      </w:r>
      <w:r>
        <w:br/>
      </w:r>
    </w:p>
    <w:p w14:paraId="52EAD75F" w14:textId="20707C41" w:rsidR="002E5A58" w:rsidRDefault="002E5A58" w:rsidP="00400E44">
      <w:pPr>
        <w:numPr>
          <w:ilvl w:val="0"/>
          <w:numId w:val="10"/>
        </w:numPr>
        <w:spacing w:before="0" w:after="0"/>
        <w:jc w:val="both"/>
      </w:pPr>
      <w:r>
        <w:t>Letters to parents and guardians</w:t>
      </w:r>
      <w:r w:rsidR="00CB670C">
        <w:t>.</w:t>
      </w:r>
    </w:p>
    <w:p w14:paraId="1655327A" w14:textId="6C52F11C" w:rsidR="002E5A58" w:rsidRDefault="002E5A58" w:rsidP="00400E44">
      <w:pPr>
        <w:numPr>
          <w:ilvl w:val="0"/>
          <w:numId w:val="10"/>
        </w:numPr>
        <w:spacing w:before="0" w:after="0"/>
        <w:jc w:val="both"/>
      </w:pPr>
      <w:r>
        <w:t>Schools based education</w:t>
      </w:r>
      <w:r w:rsidR="00CB670C">
        <w:t>.</w:t>
      </w:r>
    </w:p>
    <w:p w14:paraId="5D7E396D" w14:textId="77777777" w:rsidR="002E5A58" w:rsidRPr="00716F8D" w:rsidRDefault="002E5A58" w:rsidP="00400E44">
      <w:pPr>
        <w:numPr>
          <w:ilvl w:val="0"/>
          <w:numId w:val="10"/>
        </w:numPr>
        <w:spacing w:before="0" w:after="0"/>
        <w:jc w:val="both"/>
      </w:pPr>
      <w:r>
        <w:t>Interaction with local youth clubs and community groups.</w:t>
      </w:r>
    </w:p>
    <w:p w14:paraId="4E6DF2E6" w14:textId="77777777" w:rsidR="002E5A58" w:rsidRDefault="002E5A58" w:rsidP="00400E44">
      <w:pPr>
        <w:spacing w:after="0"/>
        <w:jc w:val="both"/>
      </w:pPr>
    </w:p>
    <w:p w14:paraId="6B0C3566" w14:textId="77777777" w:rsidR="002E5A58" w:rsidRDefault="002E5A58" w:rsidP="00DB50C1">
      <w:pPr>
        <w:numPr>
          <w:ilvl w:val="0"/>
          <w:numId w:val="9"/>
        </w:numPr>
        <w:spacing w:before="0" w:after="0"/>
      </w:pPr>
      <w:r>
        <w:lastRenderedPageBreak/>
        <w:t xml:space="preserve">Licenses or </w:t>
      </w:r>
      <w:proofErr w:type="spellStart"/>
      <w:r>
        <w:t>Authorisations</w:t>
      </w:r>
      <w:proofErr w:type="spellEnd"/>
      <w:r>
        <w:t>.</w:t>
      </w:r>
      <w:r>
        <w:br/>
        <w:t>Where relevant powers exist and the circumstances warrant it, these may be varied suspended or revoked if conditions are not complied with or in order to protect the public from regulated activities carried out to a poor standard.</w:t>
      </w:r>
      <w:r>
        <w:br/>
      </w:r>
    </w:p>
    <w:p w14:paraId="4E696DB5" w14:textId="7801DD78" w:rsidR="002E5A58" w:rsidRDefault="002E5A58" w:rsidP="0056354F">
      <w:pPr>
        <w:numPr>
          <w:ilvl w:val="0"/>
          <w:numId w:val="9"/>
        </w:numPr>
        <w:spacing w:before="0" w:after="0"/>
      </w:pPr>
      <w:r>
        <w:t>Caution.</w:t>
      </w:r>
      <w:r>
        <w:br/>
        <w:t xml:space="preserve">Where a business admits to an offence and extenuating circumstances exist which may make prosecution inappropriate.  A caution is a </w:t>
      </w:r>
      <w:r w:rsidR="008A7B64">
        <w:t>proportionate response where</w:t>
      </w:r>
      <w:r>
        <w:t xml:space="preserve"> an offender </w:t>
      </w:r>
      <w:r w:rsidR="008A7B64">
        <w:t xml:space="preserve">formally acknowledges </w:t>
      </w:r>
      <w:r>
        <w:t>that they have committed an offence and may only be used where a prosecution could properly have been bought. It will be brought to the Court’s attention if the offender is convicted of a subsequent offence.</w:t>
      </w:r>
      <w:r>
        <w:br/>
      </w:r>
      <w:r>
        <w:br/>
        <w:t>The Council will take account of current Home Office guidelines when considering whether to offer a caution.  Where a person declines such an offer the Council will consider taking alternative enforcement action, which will usually take the form of a prosecution.</w:t>
      </w:r>
      <w:r>
        <w:br/>
      </w:r>
      <w:r>
        <w:br/>
        <w:t xml:space="preserve">The Council </w:t>
      </w:r>
      <w:proofErr w:type="spellStart"/>
      <w:r>
        <w:t>recognises</w:t>
      </w:r>
      <w:proofErr w:type="spellEnd"/>
      <w:r>
        <w:t xml:space="preserve"> that other bodies such as home and originating authorities will require to be advised of cautions issued by the Council and their outcome.</w:t>
      </w:r>
      <w:r>
        <w:br/>
      </w:r>
    </w:p>
    <w:p w14:paraId="3DA2A912" w14:textId="6C72C583" w:rsidR="002E5A58" w:rsidRDefault="002E5A58" w:rsidP="00FA3D86">
      <w:pPr>
        <w:numPr>
          <w:ilvl w:val="0"/>
          <w:numId w:val="9"/>
        </w:numPr>
        <w:spacing w:before="0" w:after="0"/>
      </w:pPr>
      <w:r>
        <w:t>Works in default.</w:t>
      </w:r>
      <w:r>
        <w:br/>
        <w:t>This action is permitted under certain legislation and is reserved for those cases where there is imminent danger to persons or property and the legal process would not provide adequate remedy.  In case</w:t>
      </w:r>
      <w:r w:rsidR="00CB670C">
        <w:t>s</w:t>
      </w:r>
      <w:r>
        <w:t xml:space="preserve"> where work in default is carried out, the Council will make every effort to recover the costs of the works from the relevant party. </w:t>
      </w:r>
      <w:r>
        <w:br/>
      </w:r>
    </w:p>
    <w:p w14:paraId="243CFC18" w14:textId="77777777" w:rsidR="002E5A58" w:rsidRDefault="002E5A58" w:rsidP="002D7E0E">
      <w:pPr>
        <w:numPr>
          <w:ilvl w:val="0"/>
          <w:numId w:val="9"/>
        </w:numPr>
        <w:spacing w:before="0" w:after="0"/>
      </w:pPr>
      <w:r>
        <w:t>Seizure and Rendering Harmless.</w:t>
      </w:r>
      <w:r>
        <w:br/>
        <w:t>Certain legislation allows for the seizure of food, articles or substances if they could cause harm if consumed or pose a risk of serious personal injury, or if in breach of a specific prohibition for example under street trading legislation.  Procedural guidance is available to officers which should be followed in these circumstances.</w:t>
      </w:r>
      <w:r>
        <w:br/>
      </w:r>
    </w:p>
    <w:p w14:paraId="529FF56A" w14:textId="1146E079" w:rsidR="002E5A58" w:rsidRDefault="002E5A58" w:rsidP="007F5A1D">
      <w:pPr>
        <w:numPr>
          <w:ilvl w:val="0"/>
          <w:numId w:val="9"/>
        </w:numPr>
        <w:spacing w:before="0" w:after="0"/>
      </w:pPr>
      <w:r>
        <w:t>Arrangements where the Council is the proprietor of a business.</w:t>
      </w:r>
      <w:r>
        <w:br/>
        <w:t>Where the Council is the proprietor of a business, details of non-compliance shall be b</w:t>
      </w:r>
      <w:r w:rsidR="00CB670C">
        <w:t>r</w:t>
      </w:r>
      <w:r>
        <w:t>ought to the attention of the</w:t>
      </w:r>
      <w:r w:rsidR="008D3E34">
        <w:t xml:space="preserve"> Senior Manager</w:t>
      </w:r>
      <w:r>
        <w:t xml:space="preserve">.  In the event where the non-compliance is deemed to warrant formal action, the matter will in addition be drawn to the attention of the </w:t>
      </w:r>
      <w:r w:rsidR="004C5FEC">
        <w:t xml:space="preserve">Corporate </w:t>
      </w:r>
      <w:r>
        <w:t>Leadership Team.</w:t>
      </w:r>
    </w:p>
    <w:p w14:paraId="5D96D566" w14:textId="77777777" w:rsidR="002E5A58" w:rsidRDefault="002E5A58" w:rsidP="00400E44">
      <w:pPr>
        <w:pStyle w:val="Heading1"/>
        <w:jc w:val="both"/>
      </w:pPr>
      <w:bookmarkStart w:id="19" w:name="_Toc417481007"/>
      <w:r>
        <w:t>Prosecution</w:t>
      </w:r>
      <w:bookmarkEnd w:id="19"/>
    </w:p>
    <w:p w14:paraId="7E85877D" w14:textId="777041D7" w:rsidR="002E5A58" w:rsidRDefault="002E5A58" w:rsidP="00400E44">
      <w:pPr>
        <w:jc w:val="both"/>
      </w:pPr>
      <w:r>
        <w:t>The use of the criminal process to institute a prosecution is an important part of enforcement. It aims to punish wrongdoing to avoid a recurrence and to act as a deterrent to others.  It follows that it may be appropriate to use prosecution to ensure certain requirements are met. Where the circumstances warrant it, prosecution without prior warning or recourse to alternative sanctions will be pursued.</w:t>
      </w:r>
    </w:p>
    <w:p w14:paraId="63ABB3A7" w14:textId="77777777" w:rsidR="002E5A58" w:rsidRDefault="002E5A58" w:rsidP="00400E44">
      <w:pPr>
        <w:jc w:val="both"/>
      </w:pPr>
      <w:r>
        <w:lastRenderedPageBreak/>
        <w:t xml:space="preserve">The Council </w:t>
      </w:r>
      <w:proofErr w:type="spellStart"/>
      <w:r>
        <w:t>recognises</w:t>
      </w:r>
      <w:proofErr w:type="spellEnd"/>
      <w:r>
        <w:t xml:space="preserve"> that the institution of a prosecution is a serious matter that should only be taken after full consideration of the implications and consequences. Decisions about prosecution will take account of the Code for Crown Prosecutors issued by the Crown Prosecution Service.</w:t>
      </w:r>
    </w:p>
    <w:p w14:paraId="4D180793" w14:textId="77777777" w:rsidR="002E5A58" w:rsidRDefault="002E5A58" w:rsidP="00400E44">
      <w:pPr>
        <w:jc w:val="both"/>
      </w:pPr>
      <w:r>
        <w:t>A prosecution will not be commenced or continued on behalf of the Council unless it is satisfied that there is sufficient, admissible and reliable evidence that the offence has been committed and that there is a realistic prospect of conviction.  If the case does not pass the evidential test, it will not go ahead, no matter how important or serious it might be.  When there is sufficient evidence a prosecution will not be commenced or continued on behalf of the Council unless it is in the public interest to do so.</w:t>
      </w:r>
    </w:p>
    <w:p w14:paraId="2DE7808C" w14:textId="77777777" w:rsidR="002E5A58" w:rsidRDefault="002E5A58" w:rsidP="00400E44">
      <w:pPr>
        <w:jc w:val="both"/>
      </w:pPr>
      <w:r>
        <w:t>Public interest factors which can affect the decision to prosecute usually depend on the seriousness of the offence or the circumstances of the offender and whether, through the conviction of offenders, others may be deterred from similar failures to comply with the law.</w:t>
      </w:r>
    </w:p>
    <w:p w14:paraId="253B5526" w14:textId="7293D2CD" w:rsidR="002E5A58" w:rsidRDefault="002E5A58" w:rsidP="00400E44">
      <w:pPr>
        <w:jc w:val="both"/>
      </w:pPr>
      <w:r>
        <w:t>Where there is sufficient evidence the Council will normally prosecute in any of the following circumstances</w:t>
      </w:r>
      <w:r w:rsidR="00BE7648">
        <w:t>;</w:t>
      </w:r>
    </w:p>
    <w:p w14:paraId="703E67EC" w14:textId="77777777" w:rsidR="002E5A58" w:rsidRDefault="002E5A58" w:rsidP="00400E44">
      <w:pPr>
        <w:numPr>
          <w:ilvl w:val="0"/>
          <w:numId w:val="11"/>
        </w:numPr>
        <w:spacing w:before="0" w:after="0"/>
        <w:jc w:val="both"/>
      </w:pPr>
      <w:r>
        <w:t>Where the offence involves a failure to comply in full or in part with the requirement of a statutory notice.</w:t>
      </w:r>
    </w:p>
    <w:p w14:paraId="2525AFC3" w14:textId="77777777" w:rsidR="002E5A58" w:rsidRDefault="002E5A58" w:rsidP="00400E44">
      <w:pPr>
        <w:numPr>
          <w:ilvl w:val="0"/>
          <w:numId w:val="11"/>
        </w:numPr>
        <w:spacing w:before="0" w:after="0"/>
        <w:jc w:val="both"/>
      </w:pPr>
      <w:r>
        <w:t>Where there is a history of similar offences in relation to non-compliance with notices.</w:t>
      </w:r>
    </w:p>
    <w:p w14:paraId="31D49C64" w14:textId="77777777" w:rsidR="002E5A58" w:rsidRDefault="002E5A58" w:rsidP="00400E44">
      <w:pPr>
        <w:numPr>
          <w:ilvl w:val="0"/>
          <w:numId w:val="11"/>
        </w:numPr>
        <w:spacing w:before="0" w:after="0"/>
        <w:jc w:val="both"/>
      </w:pPr>
      <w:r>
        <w:t>Excessive or persistent breaches of regulatory requirements.</w:t>
      </w:r>
    </w:p>
    <w:p w14:paraId="448065EB" w14:textId="77777777" w:rsidR="002E5A58" w:rsidRDefault="002E5A58" w:rsidP="00400E44">
      <w:pPr>
        <w:numPr>
          <w:ilvl w:val="0"/>
          <w:numId w:val="11"/>
        </w:numPr>
        <w:spacing w:before="0" w:after="0"/>
        <w:jc w:val="both"/>
      </w:pPr>
      <w:r>
        <w:t>Obstruction of Council Staff in carrying out their powers.</w:t>
      </w:r>
    </w:p>
    <w:p w14:paraId="0CD2CE0D" w14:textId="77777777" w:rsidR="002E5A58" w:rsidRDefault="002E5A58" w:rsidP="00400E44">
      <w:pPr>
        <w:numPr>
          <w:ilvl w:val="0"/>
          <w:numId w:val="11"/>
        </w:numPr>
        <w:spacing w:before="0" w:after="0"/>
        <w:jc w:val="both"/>
      </w:pPr>
      <w:r>
        <w:t>Where the gravity of the alleged offence, taken together with the seriousness of any actual or potential harm, or the general record and approach of the offender warrants it.</w:t>
      </w:r>
    </w:p>
    <w:p w14:paraId="0E378EDC" w14:textId="77777777" w:rsidR="002E5A58" w:rsidRDefault="002E5A58" w:rsidP="00400E44">
      <w:pPr>
        <w:numPr>
          <w:ilvl w:val="0"/>
          <w:numId w:val="11"/>
        </w:numPr>
        <w:spacing w:before="0" w:after="0"/>
        <w:jc w:val="both"/>
      </w:pPr>
      <w:r>
        <w:t>Failure to supply information without reasonable excuse or knowingly supplying false or misleading information</w:t>
      </w:r>
    </w:p>
    <w:p w14:paraId="04704200" w14:textId="77777777" w:rsidR="002E5A58" w:rsidRDefault="002E5A58" w:rsidP="00400E44">
      <w:pPr>
        <w:numPr>
          <w:ilvl w:val="0"/>
          <w:numId w:val="11"/>
        </w:numPr>
        <w:spacing w:before="0" w:after="0"/>
        <w:jc w:val="both"/>
      </w:pPr>
      <w:r>
        <w:t>Impersonating a Council officer.</w:t>
      </w:r>
    </w:p>
    <w:p w14:paraId="61A0B6B1" w14:textId="77777777" w:rsidR="002E5A58" w:rsidRDefault="002E5A58" w:rsidP="00400E44">
      <w:pPr>
        <w:pStyle w:val="Heading1"/>
        <w:jc w:val="both"/>
      </w:pPr>
      <w:bookmarkStart w:id="20" w:name="_Toc417481008"/>
      <w:r>
        <w:t>Decision-Making process</w:t>
      </w:r>
      <w:bookmarkEnd w:id="20"/>
    </w:p>
    <w:p w14:paraId="6D8D8315" w14:textId="0E8F405F" w:rsidR="002E5A58" w:rsidRDefault="002E5A58" w:rsidP="00400E44">
      <w:pPr>
        <w:jc w:val="both"/>
      </w:pPr>
      <w:r>
        <w:t xml:space="preserve">In cases of health and safety legislation it is the </w:t>
      </w:r>
      <w:proofErr w:type="spellStart"/>
      <w:r>
        <w:t>authorised</w:t>
      </w:r>
      <w:proofErr w:type="spellEnd"/>
      <w:r>
        <w:t xml:space="preserve"> officer(s) who have the power to take legal action.  In other matters</w:t>
      </w:r>
      <w:r w:rsidR="00BE7648">
        <w:t xml:space="preserve">, </w:t>
      </w:r>
      <w:r>
        <w:t>the decision to prosecute rests with the officer having delegated authority.</w:t>
      </w:r>
      <w:r w:rsidR="00326BFA">
        <w:t xml:space="preserve"> The requirements of the Scheme of Delegation will be complied with.</w:t>
      </w:r>
    </w:p>
    <w:p w14:paraId="68EAB436" w14:textId="5CEDB5BE" w:rsidR="002E5A58" w:rsidRDefault="002E5A58" w:rsidP="00400E44">
      <w:pPr>
        <w:jc w:val="both"/>
      </w:pPr>
      <w:r>
        <w:t xml:space="preserve">In all cases prior to making a decision to prosecute a full report will be prepared giving consideration to </w:t>
      </w:r>
      <w:r w:rsidR="00B7698A">
        <w:t xml:space="preserve">whether there is a reasonable prospect of conviction. Where there is a reasonable prospect of conviction the </w:t>
      </w:r>
      <w:r>
        <w:t>following matters</w:t>
      </w:r>
      <w:r w:rsidR="00B7698A">
        <w:t xml:space="preserve"> will then be considered</w:t>
      </w:r>
      <w:r w:rsidR="00BF684B">
        <w:t>;</w:t>
      </w:r>
      <w:r w:rsidR="00B7698A">
        <w:t xml:space="preserve"> </w:t>
      </w:r>
    </w:p>
    <w:p w14:paraId="05D57FB1" w14:textId="77777777" w:rsidR="00B7698A" w:rsidRDefault="00B7698A" w:rsidP="00400E44">
      <w:pPr>
        <w:jc w:val="both"/>
      </w:pPr>
    </w:p>
    <w:p w14:paraId="3CD16C29" w14:textId="36CE75E2" w:rsidR="002E5A58" w:rsidRPr="00304D7F" w:rsidRDefault="002E5A58" w:rsidP="00400E44">
      <w:pPr>
        <w:numPr>
          <w:ilvl w:val="0"/>
          <w:numId w:val="12"/>
        </w:numPr>
        <w:spacing w:before="0" w:after="0"/>
        <w:jc w:val="both"/>
      </w:pPr>
      <w:r w:rsidRPr="00304D7F">
        <w:t>the seriousness of the offence</w:t>
      </w:r>
      <w:r w:rsidR="00BF684B">
        <w:t>.</w:t>
      </w:r>
    </w:p>
    <w:p w14:paraId="492F23F5" w14:textId="341AC1CB" w:rsidR="002E5A58" w:rsidRDefault="002E5A58" w:rsidP="00400E44">
      <w:pPr>
        <w:numPr>
          <w:ilvl w:val="0"/>
          <w:numId w:val="12"/>
        </w:numPr>
        <w:spacing w:before="0" w:after="0"/>
        <w:jc w:val="both"/>
      </w:pPr>
      <w:r w:rsidRPr="00304D7F">
        <w:t>the previous history of the party concerned</w:t>
      </w:r>
      <w:r w:rsidR="00BF684B">
        <w:t>.</w:t>
      </w:r>
    </w:p>
    <w:p w14:paraId="30833749" w14:textId="716D746C" w:rsidR="002E5A58" w:rsidRDefault="002E5A58" w:rsidP="00400E44">
      <w:pPr>
        <w:numPr>
          <w:ilvl w:val="0"/>
          <w:numId w:val="12"/>
        </w:numPr>
        <w:spacing w:before="0" w:after="0"/>
        <w:jc w:val="both"/>
      </w:pPr>
      <w:r>
        <w:t>the likel</w:t>
      </w:r>
      <w:r w:rsidR="00791E4E">
        <w:t>i</w:t>
      </w:r>
      <w:r>
        <w:t>hood of the defendant being able to establish a viable defen</w:t>
      </w:r>
      <w:r w:rsidR="002301EB">
        <w:t>c</w:t>
      </w:r>
      <w:r>
        <w:t>e under the relevant statute if applicable</w:t>
      </w:r>
      <w:r w:rsidR="00791E4E">
        <w:t>.</w:t>
      </w:r>
    </w:p>
    <w:p w14:paraId="34ECB7B9" w14:textId="6611A638" w:rsidR="002E5A58" w:rsidRDefault="002E5A58" w:rsidP="00400E44">
      <w:pPr>
        <w:numPr>
          <w:ilvl w:val="0"/>
          <w:numId w:val="12"/>
        </w:numPr>
        <w:spacing w:before="0" w:after="0"/>
        <w:jc w:val="both"/>
      </w:pPr>
      <w:r>
        <w:t>the ability of any important witness and their willingness to co-operate</w:t>
      </w:r>
      <w:r w:rsidR="00791E4E">
        <w:t>.</w:t>
      </w:r>
    </w:p>
    <w:p w14:paraId="785103A1" w14:textId="35FCB380" w:rsidR="002E5A58" w:rsidRDefault="002E5A58" w:rsidP="00400E44">
      <w:pPr>
        <w:numPr>
          <w:ilvl w:val="0"/>
          <w:numId w:val="12"/>
        </w:numPr>
        <w:spacing w:before="0" w:after="0"/>
        <w:jc w:val="both"/>
      </w:pPr>
      <w:r>
        <w:t>the willingness of the party to prevent recurrence</w:t>
      </w:r>
      <w:r w:rsidR="00791E4E">
        <w:t>.</w:t>
      </w:r>
    </w:p>
    <w:p w14:paraId="57052602" w14:textId="16694E99" w:rsidR="002E5A58" w:rsidRDefault="002E5A58" w:rsidP="00400E44">
      <w:pPr>
        <w:numPr>
          <w:ilvl w:val="0"/>
          <w:numId w:val="12"/>
        </w:numPr>
        <w:spacing w:before="0" w:after="0"/>
        <w:jc w:val="both"/>
      </w:pPr>
      <w:r>
        <w:lastRenderedPageBreak/>
        <w:t>the public interest of a prosecution</w:t>
      </w:r>
      <w:r w:rsidR="00285DA1">
        <w:t>.</w:t>
      </w:r>
    </w:p>
    <w:p w14:paraId="7B8FF191" w14:textId="6E6DA594" w:rsidR="002E5A58" w:rsidRDefault="002E5A58" w:rsidP="00400E44">
      <w:pPr>
        <w:numPr>
          <w:ilvl w:val="0"/>
          <w:numId w:val="12"/>
        </w:numPr>
        <w:spacing w:before="0" w:after="0"/>
        <w:jc w:val="both"/>
      </w:pPr>
      <w:r>
        <w:t>any explanation offered by the company/offender</w:t>
      </w:r>
      <w:r w:rsidR="00285DA1">
        <w:t>.</w:t>
      </w:r>
    </w:p>
    <w:p w14:paraId="5C333585" w14:textId="77777777" w:rsidR="002E5A58" w:rsidRDefault="002E5A58" w:rsidP="00400E44">
      <w:pPr>
        <w:numPr>
          <w:ilvl w:val="0"/>
          <w:numId w:val="12"/>
        </w:numPr>
        <w:spacing w:before="0" w:after="0"/>
        <w:jc w:val="both"/>
      </w:pPr>
      <w:r>
        <w:t>whether other action such as issuing a formal caution would be more appropriate.</w:t>
      </w:r>
    </w:p>
    <w:p w14:paraId="3399143F" w14:textId="1B8BFEBA" w:rsidR="002E5A58" w:rsidRDefault="002E5A58" w:rsidP="00400E44">
      <w:pPr>
        <w:spacing w:after="0"/>
        <w:jc w:val="both"/>
      </w:pPr>
      <w:r>
        <w:t>Where legal advice is necessary before a decision is made</w:t>
      </w:r>
      <w:r w:rsidR="00B7698A">
        <w:t xml:space="preserve"> expert legal advice </w:t>
      </w:r>
      <w:r>
        <w:t>will be sought.</w:t>
      </w:r>
    </w:p>
    <w:p w14:paraId="12AA8211" w14:textId="77777777" w:rsidR="002E5A58" w:rsidRDefault="002E5A58" w:rsidP="00400E44">
      <w:pPr>
        <w:spacing w:after="0"/>
        <w:jc w:val="both"/>
      </w:pPr>
      <w:r>
        <w:t>Where there is reasonable doubt as to the success of the proceedings and the possibility of costs being awarded against the Council, this will be included in the considerations made before a decision to proceed is taken.</w:t>
      </w:r>
    </w:p>
    <w:p w14:paraId="324C7D19" w14:textId="77777777" w:rsidR="002E5A58" w:rsidRDefault="002E5A58" w:rsidP="00400E44">
      <w:pPr>
        <w:spacing w:after="0"/>
        <w:jc w:val="both"/>
      </w:pPr>
      <w:r>
        <w:t xml:space="preserve">In legal proceedings the Council will fully support the necessary action taken in all cases by the </w:t>
      </w:r>
      <w:proofErr w:type="spellStart"/>
      <w:r>
        <w:t>authorised</w:t>
      </w:r>
      <w:proofErr w:type="spellEnd"/>
      <w:r>
        <w:t xml:space="preserve"> officer.</w:t>
      </w:r>
    </w:p>
    <w:p w14:paraId="3B680764" w14:textId="77777777" w:rsidR="002E5A58" w:rsidRDefault="002E5A58" w:rsidP="00400E44">
      <w:pPr>
        <w:pStyle w:val="Heading1"/>
        <w:jc w:val="both"/>
      </w:pPr>
      <w:bookmarkStart w:id="21" w:name="_Toc417481009"/>
      <w:r>
        <w:t>Working with other Regulators</w:t>
      </w:r>
      <w:bookmarkEnd w:id="21"/>
    </w:p>
    <w:p w14:paraId="20F062F8" w14:textId="77777777" w:rsidR="002E5A58" w:rsidRDefault="002E5A58" w:rsidP="00400E44">
      <w:pPr>
        <w:spacing w:after="0"/>
        <w:jc w:val="both"/>
      </w:pPr>
      <w:r>
        <w:t>Where the Council and other enforcement bodies have the power to prosecute, the Council will liaise with that other body to ensure effective co-ordination, to avoid inconsistencies and to ensure that any proceedings instituted are for the most appropriate offence.  The Council will also consult with other authorities acting as appropriate.</w:t>
      </w:r>
    </w:p>
    <w:p w14:paraId="41117D30" w14:textId="2374FE21" w:rsidR="002E5A58" w:rsidRDefault="002E5A58" w:rsidP="00400E44">
      <w:pPr>
        <w:spacing w:after="0"/>
        <w:jc w:val="both"/>
      </w:pPr>
      <w:r>
        <w:t>The Council will, when appropriate and when requested to, seek to raise the awareness of the courts of the gravity of certain offences and the full extent of their sentencing powers. In certain cases it may also be appropriate to draw</w:t>
      </w:r>
      <w:r w:rsidR="001115BB">
        <w:t xml:space="preserve"> to</w:t>
      </w:r>
      <w:r>
        <w:t xml:space="preserve"> the attention of the courts and/or the </w:t>
      </w:r>
      <w:r w:rsidR="004F3BE4">
        <w:t>Crown Prosecution Service</w:t>
      </w:r>
      <w:r>
        <w:t xml:space="preserve"> to the fact that disqualification of a director may arise under relevant legislation.</w:t>
      </w:r>
    </w:p>
    <w:p w14:paraId="56FC8403" w14:textId="77777777" w:rsidR="002E5A58" w:rsidRDefault="002E5A58" w:rsidP="00400E44">
      <w:pPr>
        <w:pStyle w:val="Heading1"/>
        <w:jc w:val="both"/>
      </w:pPr>
      <w:bookmarkStart w:id="22" w:name="_Toc417481010"/>
      <w:r>
        <w:t>Recovery of Costs</w:t>
      </w:r>
      <w:bookmarkEnd w:id="22"/>
    </w:p>
    <w:p w14:paraId="1DA020A9" w14:textId="5100B783" w:rsidR="009707FE" w:rsidRDefault="002E5A58" w:rsidP="00400E44">
      <w:pPr>
        <w:spacing w:after="0"/>
        <w:jc w:val="both"/>
      </w:pPr>
      <w:r>
        <w:t xml:space="preserve">In carrying out the formal action outlined in this policy, the Council of the Isles of Scilly will </w:t>
      </w:r>
      <w:r w:rsidR="001724B3">
        <w:t>endeavor</w:t>
      </w:r>
      <w:r>
        <w:t xml:space="preserve"> to recover all reasonable costs incurred</w:t>
      </w:r>
      <w:r w:rsidR="00210F80">
        <w:t>.</w:t>
      </w:r>
      <w:r w:rsidR="0093448A">
        <w:t xml:space="preserve"> </w:t>
      </w:r>
    </w:p>
    <w:p w14:paraId="2311C392" w14:textId="77777777" w:rsidR="002E5A58" w:rsidRDefault="002E5A58" w:rsidP="00400E44">
      <w:pPr>
        <w:pStyle w:val="Heading1"/>
        <w:jc w:val="both"/>
      </w:pPr>
      <w:bookmarkStart w:id="23" w:name="_Toc417481011"/>
      <w:r>
        <w:t>Public Access to Information</w:t>
      </w:r>
      <w:bookmarkEnd w:id="23"/>
    </w:p>
    <w:p w14:paraId="7B887926" w14:textId="77777777" w:rsidR="002E5A58" w:rsidRDefault="002E5A58" w:rsidP="00400E44">
      <w:pPr>
        <w:spacing w:after="0"/>
        <w:jc w:val="both"/>
      </w:pPr>
      <w:r>
        <w:t>This policy will be made freely available to all members of the public on request and a copy will be posted on the Council’s website.</w:t>
      </w:r>
    </w:p>
    <w:p w14:paraId="3D9CA117" w14:textId="77777777" w:rsidR="002E5A58" w:rsidRDefault="002E5A58" w:rsidP="00400E44">
      <w:pPr>
        <w:spacing w:after="0"/>
        <w:jc w:val="both"/>
      </w:pPr>
      <w:r>
        <w:t>Officers will adhere to the restrictions placed on them by legislation in relation to the release of any information to a third party, obtained by them in the course of their duties.  When convictions have been obtained however, the Council will, in addition to reporting the details to the relevant authorities, consider alerting the media and making the details of the conviction public.  Such action will serve to draw the attention of a wider audience to the need to comply with legal requirements and deter others tempted to disregard their legal duties.</w:t>
      </w:r>
    </w:p>
    <w:p w14:paraId="3CDCB39E" w14:textId="77777777" w:rsidR="002E5A58" w:rsidRDefault="002E5A58" w:rsidP="00400E44">
      <w:pPr>
        <w:spacing w:after="0"/>
        <w:jc w:val="both"/>
      </w:pPr>
    </w:p>
    <w:p w14:paraId="79E37A14" w14:textId="77777777" w:rsidR="00400E44" w:rsidRDefault="00400E44" w:rsidP="00400E44">
      <w:pPr>
        <w:spacing w:after="0"/>
        <w:jc w:val="both"/>
      </w:pPr>
    </w:p>
    <w:p w14:paraId="26CF4E9F" w14:textId="77777777" w:rsidR="00400E44" w:rsidRDefault="00400E44" w:rsidP="00400E44">
      <w:pPr>
        <w:spacing w:after="0"/>
        <w:jc w:val="both"/>
      </w:pPr>
    </w:p>
    <w:p w14:paraId="7A07FF40" w14:textId="77777777" w:rsidR="00400E44" w:rsidRDefault="00400E44" w:rsidP="00400E44">
      <w:pPr>
        <w:spacing w:after="0"/>
        <w:jc w:val="both"/>
      </w:pPr>
    </w:p>
    <w:p w14:paraId="1FD8441F" w14:textId="77777777" w:rsidR="00400E44" w:rsidRDefault="00400E44" w:rsidP="00400E44">
      <w:pPr>
        <w:spacing w:after="0"/>
        <w:jc w:val="both"/>
      </w:pPr>
    </w:p>
    <w:p w14:paraId="46BA1521" w14:textId="77777777" w:rsidR="002E5A58" w:rsidRDefault="002E5A58" w:rsidP="00400E44">
      <w:pPr>
        <w:pStyle w:val="Heading1"/>
        <w:jc w:val="both"/>
      </w:pPr>
      <w:bookmarkStart w:id="24" w:name="_Toc417481012"/>
      <w:r>
        <w:t>Comments</w:t>
      </w:r>
      <w:bookmarkEnd w:id="24"/>
    </w:p>
    <w:p w14:paraId="6BC971D8" w14:textId="04F4A46B" w:rsidR="002E5A58" w:rsidRDefault="002E5A58" w:rsidP="00400E44">
      <w:pPr>
        <w:spacing w:after="0"/>
        <w:jc w:val="both"/>
      </w:pPr>
      <w:r>
        <w:t>The Council welcomes comments on this policy and on how we can improve our services.  Comments can be made in the following ways</w:t>
      </w:r>
      <w:r w:rsidR="001115BB">
        <w:t>;</w:t>
      </w:r>
    </w:p>
    <w:p w14:paraId="17DBBFB4" w14:textId="77777777" w:rsidR="002E5A58" w:rsidRDefault="002E5A58" w:rsidP="002E5A58">
      <w:pPr>
        <w:jc w:val="both"/>
        <w:rPr>
          <w:rFonts w:ascii="Verdana" w:hAnsi="Verdana"/>
        </w:rPr>
      </w:pPr>
    </w:p>
    <w:p w14:paraId="29D2B735" w14:textId="77777777" w:rsidR="00210F80" w:rsidRDefault="00210F80" w:rsidP="00210F80">
      <w:pPr>
        <w:spacing w:before="0" w:after="0"/>
        <w:jc w:val="both"/>
      </w:pPr>
      <w:r>
        <w:t xml:space="preserve">Email: </w:t>
      </w:r>
      <w:hyperlink r:id="rId9" w:history="1">
        <w:r>
          <w:rPr>
            <w:rStyle w:val="Hyperlink"/>
          </w:rPr>
          <w:t>environmentalhealth@scilly.gov.uk</w:t>
        </w:r>
      </w:hyperlink>
    </w:p>
    <w:p w14:paraId="13CB2D72" w14:textId="77777777" w:rsidR="00210F80" w:rsidRDefault="00210F80" w:rsidP="00210F80">
      <w:pPr>
        <w:spacing w:before="0" w:after="0"/>
        <w:jc w:val="both"/>
      </w:pPr>
    </w:p>
    <w:p w14:paraId="749B22F0" w14:textId="77777777" w:rsidR="00210F80" w:rsidRDefault="00210F80" w:rsidP="00210F80">
      <w:pPr>
        <w:spacing w:after="0"/>
        <w:jc w:val="both"/>
      </w:pPr>
      <w:r>
        <w:t>By telephone on:  0300 1234 105</w:t>
      </w:r>
    </w:p>
    <w:p w14:paraId="7E9837B0" w14:textId="77777777" w:rsidR="00210F80" w:rsidRDefault="00210F80" w:rsidP="00210F80">
      <w:pPr>
        <w:spacing w:before="0" w:after="0"/>
        <w:jc w:val="both"/>
        <w:rPr>
          <w:szCs w:val="24"/>
        </w:rPr>
      </w:pPr>
    </w:p>
    <w:p w14:paraId="309D475C" w14:textId="37BFEA78" w:rsidR="00210F80" w:rsidRDefault="00210F80" w:rsidP="00210F80">
      <w:pPr>
        <w:spacing w:after="0"/>
        <w:jc w:val="both"/>
      </w:pPr>
      <w:r>
        <w:t>In writing to</w:t>
      </w:r>
      <w:r w:rsidR="001115BB">
        <w:t>;</w:t>
      </w:r>
    </w:p>
    <w:p w14:paraId="1CC767F8" w14:textId="38D5BF38" w:rsidR="00210F80" w:rsidRDefault="00210F80" w:rsidP="00210F80">
      <w:pPr>
        <w:spacing w:before="0" w:after="0"/>
        <w:jc w:val="both"/>
      </w:pPr>
      <w:r>
        <w:t>Environmental Health</w:t>
      </w:r>
      <w:r w:rsidR="001115BB">
        <w:t>,</w:t>
      </w:r>
      <w:r>
        <w:t xml:space="preserve"> </w:t>
      </w:r>
    </w:p>
    <w:p w14:paraId="28EC5CE0" w14:textId="77777777" w:rsidR="00210F80" w:rsidRDefault="00210F80" w:rsidP="00210F80">
      <w:pPr>
        <w:spacing w:before="0" w:after="0"/>
        <w:jc w:val="both"/>
      </w:pPr>
      <w:r>
        <w:t xml:space="preserve">Council of the Isles of Scilly, </w:t>
      </w:r>
    </w:p>
    <w:p w14:paraId="0EB3D7AB" w14:textId="77777777" w:rsidR="00210F80" w:rsidRDefault="00210F80" w:rsidP="00210F80">
      <w:pPr>
        <w:spacing w:before="0" w:after="0"/>
        <w:jc w:val="both"/>
      </w:pPr>
      <w:r>
        <w:t xml:space="preserve">Town Hall, </w:t>
      </w:r>
    </w:p>
    <w:p w14:paraId="246569E1" w14:textId="77777777" w:rsidR="00210F80" w:rsidRDefault="00210F80" w:rsidP="00210F80">
      <w:pPr>
        <w:spacing w:before="0" w:after="0"/>
        <w:jc w:val="both"/>
      </w:pPr>
      <w:r>
        <w:t xml:space="preserve">St Mary’s, </w:t>
      </w:r>
    </w:p>
    <w:p w14:paraId="619B9D66" w14:textId="55FF5C6E" w:rsidR="00210F80" w:rsidRDefault="00210F80" w:rsidP="00210F80">
      <w:pPr>
        <w:spacing w:before="0" w:after="0"/>
        <w:jc w:val="both"/>
      </w:pPr>
      <w:r>
        <w:t>Isles of Scilly</w:t>
      </w:r>
      <w:r w:rsidR="001115BB">
        <w:t>,</w:t>
      </w:r>
    </w:p>
    <w:p w14:paraId="29F248E5" w14:textId="77777777" w:rsidR="00210F80" w:rsidRDefault="00210F80" w:rsidP="00210F80">
      <w:pPr>
        <w:spacing w:before="0" w:after="0"/>
        <w:jc w:val="both"/>
      </w:pPr>
      <w:r>
        <w:t>TR21 0LW</w:t>
      </w:r>
    </w:p>
    <w:p w14:paraId="6456242C" w14:textId="77777777" w:rsidR="000B4F07" w:rsidRDefault="000B4F07" w:rsidP="002E5A58">
      <w:pPr>
        <w:jc w:val="both"/>
        <w:rPr>
          <w:rFonts w:ascii="Verdana" w:hAnsi="Verdana"/>
        </w:rPr>
      </w:pPr>
    </w:p>
    <w:p w14:paraId="57B68646" w14:textId="77777777" w:rsidR="002E5A58" w:rsidRDefault="002E5A58" w:rsidP="002E5A58">
      <w:pPr>
        <w:rPr>
          <w:rFonts w:ascii="Verdana" w:hAnsi="Verdana"/>
        </w:rPr>
      </w:pPr>
    </w:p>
    <w:p w14:paraId="104A008D" w14:textId="77777777" w:rsidR="002E5A58" w:rsidRDefault="002E5A58" w:rsidP="002E5A58">
      <w:pPr>
        <w:rPr>
          <w:rFonts w:ascii="Verdana" w:hAnsi="Verdana"/>
        </w:rPr>
      </w:pPr>
    </w:p>
    <w:p w14:paraId="0203E1E4" w14:textId="77777777" w:rsidR="002E5A58" w:rsidRDefault="002E5A58" w:rsidP="002E5A58">
      <w:pPr>
        <w:rPr>
          <w:rFonts w:ascii="Verdana" w:hAnsi="Verdana"/>
        </w:rPr>
      </w:pPr>
      <w:bookmarkStart w:id="25" w:name="_GoBack"/>
      <w:bookmarkEnd w:id="25"/>
    </w:p>
    <w:p w14:paraId="3E5D8A1D" w14:textId="566EB2EA" w:rsidR="00033DDB" w:rsidRPr="00702F6D" w:rsidRDefault="00033DDB" w:rsidP="0040434B">
      <w:pPr>
        <w:spacing w:before="0" w:after="0" w:line="240" w:lineRule="auto"/>
        <w:ind w:left="720"/>
        <w:contextualSpacing/>
        <w:jc w:val="both"/>
        <w:rPr>
          <w:rFonts w:asciiTheme="minorHAnsi" w:eastAsia="Times New Roman" w:hAnsiTheme="minorHAnsi" w:cs="Arial"/>
          <w:sz w:val="28"/>
          <w:szCs w:val="28"/>
          <w:lang w:val="en-GB" w:bidi="ar-SA"/>
        </w:rPr>
      </w:pPr>
    </w:p>
    <w:sectPr w:rsidR="00033DDB" w:rsidRPr="00702F6D" w:rsidSect="00EB5C22">
      <w:footerReference w:type="default" r:id="rId10"/>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D3675" w14:textId="77777777" w:rsidR="00716380" w:rsidRDefault="00716380" w:rsidP="00096740">
      <w:pPr>
        <w:spacing w:before="0" w:after="0" w:line="240" w:lineRule="auto"/>
      </w:pPr>
      <w:r>
        <w:separator/>
      </w:r>
    </w:p>
  </w:endnote>
  <w:endnote w:type="continuationSeparator" w:id="0">
    <w:p w14:paraId="7DEF1EAA" w14:textId="77777777" w:rsidR="00716380" w:rsidRDefault="00716380" w:rsidP="000967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5471397"/>
      <w:docPartObj>
        <w:docPartGallery w:val="Page Numbers (Bottom of Page)"/>
        <w:docPartUnique/>
      </w:docPartObj>
    </w:sdtPr>
    <w:sdtEndPr>
      <w:rPr>
        <w:noProof/>
      </w:rPr>
    </w:sdtEndPr>
    <w:sdtContent>
      <w:p w14:paraId="36CB298B" w14:textId="1157A621" w:rsidR="00391C02" w:rsidRDefault="00391C02">
        <w:pPr>
          <w:pStyle w:val="Footer"/>
          <w:jc w:val="center"/>
        </w:pPr>
        <w:r>
          <w:fldChar w:fldCharType="begin"/>
        </w:r>
        <w:r>
          <w:instrText xml:space="preserve"> PAGE   \* MERGEFORMAT </w:instrText>
        </w:r>
        <w:r>
          <w:fldChar w:fldCharType="separate"/>
        </w:r>
        <w:r w:rsidR="002301EB">
          <w:rPr>
            <w:noProof/>
          </w:rPr>
          <w:t>11</w:t>
        </w:r>
        <w:r>
          <w:rPr>
            <w:noProof/>
          </w:rPr>
          <w:fldChar w:fldCharType="end"/>
        </w:r>
      </w:p>
    </w:sdtContent>
  </w:sdt>
  <w:p w14:paraId="429EE720" w14:textId="77777777" w:rsidR="00391C02" w:rsidRDefault="00391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8171F" w14:textId="77777777" w:rsidR="00716380" w:rsidRDefault="00716380" w:rsidP="00096740">
      <w:pPr>
        <w:spacing w:before="0" w:after="0" w:line="240" w:lineRule="auto"/>
      </w:pPr>
      <w:r>
        <w:separator/>
      </w:r>
    </w:p>
  </w:footnote>
  <w:footnote w:type="continuationSeparator" w:id="0">
    <w:p w14:paraId="0737DFA4" w14:textId="77777777" w:rsidR="00716380" w:rsidRDefault="00716380" w:rsidP="0009674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D7E0A"/>
    <w:multiLevelType w:val="hybridMultilevel"/>
    <w:tmpl w:val="16041152"/>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FB37BA"/>
    <w:multiLevelType w:val="hybridMultilevel"/>
    <w:tmpl w:val="1234B4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D5145B"/>
    <w:multiLevelType w:val="hybridMultilevel"/>
    <w:tmpl w:val="337468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F7309"/>
    <w:multiLevelType w:val="hybridMultilevel"/>
    <w:tmpl w:val="EBDE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5E0ABF"/>
    <w:multiLevelType w:val="hybridMultilevel"/>
    <w:tmpl w:val="F6F6C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D4272A"/>
    <w:multiLevelType w:val="hybridMultilevel"/>
    <w:tmpl w:val="7F74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CB3373"/>
    <w:multiLevelType w:val="hybridMultilevel"/>
    <w:tmpl w:val="E49A6FC4"/>
    <w:lvl w:ilvl="0" w:tplc="31CEF8D8">
      <w:start w:val="1"/>
      <w:numFmt w:val="decimal"/>
      <w:lvlText w:val="%1."/>
      <w:lvlJc w:val="left"/>
      <w:pPr>
        <w:ind w:left="942" w:hanging="360"/>
        <w:jc w:val="left"/>
      </w:pPr>
      <w:rPr>
        <w:rFonts w:ascii="Verdana" w:eastAsia="Verdana" w:hAnsi="Verdana" w:hint="default"/>
        <w:b/>
        <w:bCs/>
        <w:spacing w:val="-1"/>
        <w:sz w:val="22"/>
        <w:szCs w:val="22"/>
      </w:rPr>
    </w:lvl>
    <w:lvl w:ilvl="1" w:tplc="2DBA9246">
      <w:start w:val="1"/>
      <w:numFmt w:val="bullet"/>
      <w:lvlText w:val="•"/>
      <w:lvlJc w:val="left"/>
      <w:pPr>
        <w:ind w:left="1742" w:hanging="360"/>
      </w:pPr>
      <w:rPr>
        <w:rFonts w:hint="default"/>
      </w:rPr>
    </w:lvl>
    <w:lvl w:ilvl="2" w:tplc="16587794">
      <w:start w:val="1"/>
      <w:numFmt w:val="bullet"/>
      <w:lvlText w:val="•"/>
      <w:lvlJc w:val="left"/>
      <w:pPr>
        <w:ind w:left="2542" w:hanging="360"/>
      </w:pPr>
      <w:rPr>
        <w:rFonts w:hint="default"/>
      </w:rPr>
    </w:lvl>
    <w:lvl w:ilvl="3" w:tplc="D35AC308">
      <w:start w:val="1"/>
      <w:numFmt w:val="bullet"/>
      <w:lvlText w:val="•"/>
      <w:lvlJc w:val="left"/>
      <w:pPr>
        <w:ind w:left="3342" w:hanging="360"/>
      </w:pPr>
      <w:rPr>
        <w:rFonts w:hint="default"/>
      </w:rPr>
    </w:lvl>
    <w:lvl w:ilvl="4" w:tplc="AA2C085A">
      <w:start w:val="1"/>
      <w:numFmt w:val="bullet"/>
      <w:lvlText w:val="•"/>
      <w:lvlJc w:val="left"/>
      <w:pPr>
        <w:ind w:left="4142" w:hanging="360"/>
      </w:pPr>
      <w:rPr>
        <w:rFonts w:hint="default"/>
      </w:rPr>
    </w:lvl>
    <w:lvl w:ilvl="5" w:tplc="BFC69646">
      <w:start w:val="1"/>
      <w:numFmt w:val="bullet"/>
      <w:lvlText w:val="•"/>
      <w:lvlJc w:val="left"/>
      <w:pPr>
        <w:ind w:left="4943" w:hanging="360"/>
      </w:pPr>
      <w:rPr>
        <w:rFonts w:hint="default"/>
      </w:rPr>
    </w:lvl>
    <w:lvl w:ilvl="6" w:tplc="A678E7CA">
      <w:start w:val="1"/>
      <w:numFmt w:val="bullet"/>
      <w:lvlText w:val="•"/>
      <w:lvlJc w:val="left"/>
      <w:pPr>
        <w:ind w:left="5743" w:hanging="360"/>
      </w:pPr>
      <w:rPr>
        <w:rFonts w:hint="default"/>
      </w:rPr>
    </w:lvl>
    <w:lvl w:ilvl="7" w:tplc="C2689CD4">
      <w:start w:val="1"/>
      <w:numFmt w:val="bullet"/>
      <w:lvlText w:val="•"/>
      <w:lvlJc w:val="left"/>
      <w:pPr>
        <w:ind w:left="6543" w:hanging="360"/>
      </w:pPr>
      <w:rPr>
        <w:rFonts w:hint="default"/>
      </w:rPr>
    </w:lvl>
    <w:lvl w:ilvl="8" w:tplc="F19A63D8">
      <w:start w:val="1"/>
      <w:numFmt w:val="bullet"/>
      <w:lvlText w:val="•"/>
      <w:lvlJc w:val="left"/>
      <w:pPr>
        <w:ind w:left="7343" w:hanging="360"/>
      </w:pPr>
      <w:rPr>
        <w:rFonts w:hint="default"/>
      </w:rPr>
    </w:lvl>
  </w:abstractNum>
  <w:abstractNum w:abstractNumId="7" w15:restartNumberingAfterBreak="0">
    <w:nsid w:val="389E4865"/>
    <w:multiLevelType w:val="multilevel"/>
    <w:tmpl w:val="64E403F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321023C"/>
    <w:multiLevelType w:val="hybridMultilevel"/>
    <w:tmpl w:val="EAA0A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474EBB"/>
    <w:multiLevelType w:val="hybridMultilevel"/>
    <w:tmpl w:val="5882D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8B2465"/>
    <w:multiLevelType w:val="hybridMultilevel"/>
    <w:tmpl w:val="915E4A4E"/>
    <w:lvl w:ilvl="0" w:tplc="C54A383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8A145D"/>
    <w:multiLevelType w:val="hybridMultilevel"/>
    <w:tmpl w:val="B77CA8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500947"/>
    <w:multiLevelType w:val="hybridMultilevel"/>
    <w:tmpl w:val="497A5D1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FEA42A2"/>
    <w:multiLevelType w:val="hybridMultilevel"/>
    <w:tmpl w:val="442A59A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251D14"/>
    <w:multiLevelType w:val="hybridMultilevel"/>
    <w:tmpl w:val="7E74A3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
  </w:num>
  <w:num w:numId="2">
    <w:abstractNumId w:val="4"/>
  </w:num>
  <w:num w:numId="3">
    <w:abstractNumId w:val="9"/>
  </w:num>
  <w:num w:numId="4">
    <w:abstractNumId w:val="10"/>
  </w:num>
  <w:num w:numId="5">
    <w:abstractNumId w:val="12"/>
  </w:num>
  <w:num w:numId="6">
    <w:abstractNumId w:val="8"/>
  </w:num>
  <w:num w:numId="7">
    <w:abstractNumId w:val="11"/>
  </w:num>
  <w:num w:numId="8">
    <w:abstractNumId w:val="5"/>
  </w:num>
  <w:num w:numId="9">
    <w:abstractNumId w:val="13"/>
  </w:num>
  <w:num w:numId="10">
    <w:abstractNumId w:val="14"/>
  </w:num>
  <w:num w:numId="11">
    <w:abstractNumId w:val="3"/>
  </w:num>
  <w:num w:numId="12">
    <w:abstractNumId w:val="1"/>
  </w:num>
  <w:num w:numId="13">
    <w:abstractNumId w:val="0"/>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A58"/>
    <w:rsid w:val="00033DDB"/>
    <w:rsid w:val="00096740"/>
    <w:rsid w:val="000A2C7F"/>
    <w:rsid w:val="000B4F07"/>
    <w:rsid w:val="001115BB"/>
    <w:rsid w:val="001128E9"/>
    <w:rsid w:val="0013155D"/>
    <w:rsid w:val="00136B8D"/>
    <w:rsid w:val="00165A44"/>
    <w:rsid w:val="001724B3"/>
    <w:rsid w:val="00193366"/>
    <w:rsid w:val="001D083F"/>
    <w:rsid w:val="001E0961"/>
    <w:rsid w:val="001E4FCF"/>
    <w:rsid w:val="002005C2"/>
    <w:rsid w:val="00210F80"/>
    <w:rsid w:val="0021266D"/>
    <w:rsid w:val="002301EB"/>
    <w:rsid w:val="002342F2"/>
    <w:rsid w:val="00242EB8"/>
    <w:rsid w:val="00254078"/>
    <w:rsid w:val="002553F3"/>
    <w:rsid w:val="00285DA1"/>
    <w:rsid w:val="00290372"/>
    <w:rsid w:val="002B7B05"/>
    <w:rsid w:val="002C1D55"/>
    <w:rsid w:val="002D0A89"/>
    <w:rsid w:val="002D7E0E"/>
    <w:rsid w:val="002E5A58"/>
    <w:rsid w:val="00301C38"/>
    <w:rsid w:val="00326BFA"/>
    <w:rsid w:val="0034184F"/>
    <w:rsid w:val="0034287D"/>
    <w:rsid w:val="00371F1A"/>
    <w:rsid w:val="00391C02"/>
    <w:rsid w:val="003979D2"/>
    <w:rsid w:val="003C46AB"/>
    <w:rsid w:val="003E0B2F"/>
    <w:rsid w:val="00400E44"/>
    <w:rsid w:val="0040434B"/>
    <w:rsid w:val="004267DE"/>
    <w:rsid w:val="00462C75"/>
    <w:rsid w:val="00473D42"/>
    <w:rsid w:val="0047750F"/>
    <w:rsid w:val="004868DC"/>
    <w:rsid w:val="004C5FEC"/>
    <w:rsid w:val="004F3BE4"/>
    <w:rsid w:val="005550F5"/>
    <w:rsid w:val="0056354F"/>
    <w:rsid w:val="00583716"/>
    <w:rsid w:val="005871E8"/>
    <w:rsid w:val="0059301E"/>
    <w:rsid w:val="005B78A9"/>
    <w:rsid w:val="005D6520"/>
    <w:rsid w:val="00600DA2"/>
    <w:rsid w:val="0061650E"/>
    <w:rsid w:val="0062653A"/>
    <w:rsid w:val="006373CC"/>
    <w:rsid w:val="00665E73"/>
    <w:rsid w:val="006C36C9"/>
    <w:rsid w:val="007024C4"/>
    <w:rsid w:val="007028FE"/>
    <w:rsid w:val="00702F6D"/>
    <w:rsid w:val="00705123"/>
    <w:rsid w:val="00714F56"/>
    <w:rsid w:val="00716380"/>
    <w:rsid w:val="00754D33"/>
    <w:rsid w:val="00774D53"/>
    <w:rsid w:val="007768A3"/>
    <w:rsid w:val="00791E4E"/>
    <w:rsid w:val="00794E14"/>
    <w:rsid w:val="007F5A1D"/>
    <w:rsid w:val="00806508"/>
    <w:rsid w:val="008504A7"/>
    <w:rsid w:val="00860C4A"/>
    <w:rsid w:val="008718B6"/>
    <w:rsid w:val="00874653"/>
    <w:rsid w:val="008A7B64"/>
    <w:rsid w:val="008D3E34"/>
    <w:rsid w:val="0093448A"/>
    <w:rsid w:val="0093562D"/>
    <w:rsid w:val="00952ADC"/>
    <w:rsid w:val="009707FE"/>
    <w:rsid w:val="00980328"/>
    <w:rsid w:val="009B1C62"/>
    <w:rsid w:val="009B21A9"/>
    <w:rsid w:val="009D350F"/>
    <w:rsid w:val="009F6620"/>
    <w:rsid w:val="00A33D2A"/>
    <w:rsid w:val="00A44CA4"/>
    <w:rsid w:val="00AC0491"/>
    <w:rsid w:val="00AD2022"/>
    <w:rsid w:val="00AD314C"/>
    <w:rsid w:val="00AE5B0E"/>
    <w:rsid w:val="00AE7342"/>
    <w:rsid w:val="00B52973"/>
    <w:rsid w:val="00B7698A"/>
    <w:rsid w:val="00B77063"/>
    <w:rsid w:val="00B9684D"/>
    <w:rsid w:val="00BB53ED"/>
    <w:rsid w:val="00BC3557"/>
    <w:rsid w:val="00BC3D02"/>
    <w:rsid w:val="00BC5588"/>
    <w:rsid w:val="00BE7648"/>
    <w:rsid w:val="00BF684B"/>
    <w:rsid w:val="00C051ED"/>
    <w:rsid w:val="00C31180"/>
    <w:rsid w:val="00C36D51"/>
    <w:rsid w:val="00C63DF5"/>
    <w:rsid w:val="00C719C4"/>
    <w:rsid w:val="00C72E95"/>
    <w:rsid w:val="00CB670C"/>
    <w:rsid w:val="00CD605E"/>
    <w:rsid w:val="00CE67FC"/>
    <w:rsid w:val="00D26B8D"/>
    <w:rsid w:val="00D327FB"/>
    <w:rsid w:val="00D372EC"/>
    <w:rsid w:val="00D46C2A"/>
    <w:rsid w:val="00DB50C1"/>
    <w:rsid w:val="00DD7613"/>
    <w:rsid w:val="00E01F52"/>
    <w:rsid w:val="00E142C5"/>
    <w:rsid w:val="00E2379B"/>
    <w:rsid w:val="00E4710E"/>
    <w:rsid w:val="00E53CA1"/>
    <w:rsid w:val="00E748A0"/>
    <w:rsid w:val="00EB5C22"/>
    <w:rsid w:val="00EC674D"/>
    <w:rsid w:val="00EE4094"/>
    <w:rsid w:val="00EF6D14"/>
    <w:rsid w:val="00F0400A"/>
    <w:rsid w:val="00F56781"/>
    <w:rsid w:val="00F71FE0"/>
    <w:rsid w:val="00FA3D86"/>
    <w:rsid w:val="00FB2CB9"/>
    <w:rsid w:val="00FC44BB"/>
    <w:rsid w:val="00FE6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76330F"/>
  <w15:docId w15:val="{3356B608-A9A7-4E6C-AAE7-A6074B26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2CB9"/>
    <w:pPr>
      <w:spacing w:before="200" w:after="200" w:line="276" w:lineRule="auto"/>
    </w:pPr>
    <w:rPr>
      <w:sz w:val="22"/>
      <w:lang w:val="en-US" w:eastAsia="en-US" w:bidi="en-US"/>
    </w:rPr>
  </w:style>
  <w:style w:type="paragraph" w:styleId="Heading1">
    <w:name w:val="heading 1"/>
    <w:basedOn w:val="Normal"/>
    <w:next w:val="Normal"/>
    <w:link w:val="Heading1Char"/>
    <w:uiPriority w:val="9"/>
    <w:qFormat/>
    <w:rsid w:val="00FB2CB9"/>
    <w:pPr>
      <w:pBdr>
        <w:top w:val="single" w:sz="24" w:space="0" w:color="0193CF"/>
        <w:left w:val="single" w:sz="24" w:space="0" w:color="0193CF"/>
        <w:bottom w:val="single" w:sz="24" w:space="0" w:color="0193CF"/>
        <w:right w:val="single" w:sz="24" w:space="0" w:color="0193CF"/>
      </w:pBdr>
      <w:shd w:val="clear" w:color="auto" w:fill="0193CF"/>
      <w:spacing w:after="0"/>
      <w:outlineLvl w:val="0"/>
    </w:pPr>
    <w:rPr>
      <w:b/>
      <w:bCs/>
      <w:smallCaps/>
      <w:color w:val="FFFFFF"/>
      <w:spacing w:val="15"/>
      <w:sz w:val="28"/>
      <w:szCs w:val="22"/>
    </w:rPr>
  </w:style>
  <w:style w:type="paragraph" w:styleId="Heading2">
    <w:name w:val="heading 2"/>
    <w:basedOn w:val="Normal"/>
    <w:next w:val="Normal"/>
    <w:link w:val="Heading2Char"/>
    <w:uiPriority w:val="9"/>
    <w:unhideWhenUsed/>
    <w:qFormat/>
    <w:rsid w:val="00FB2CB9"/>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smallCaps/>
      <w:spacing w:val="15"/>
      <w:sz w:val="24"/>
      <w:szCs w:val="28"/>
    </w:rPr>
  </w:style>
  <w:style w:type="paragraph" w:styleId="Heading3">
    <w:name w:val="heading 3"/>
    <w:basedOn w:val="Normal"/>
    <w:next w:val="Normal"/>
    <w:link w:val="Heading3Char"/>
    <w:uiPriority w:val="9"/>
    <w:unhideWhenUsed/>
    <w:qFormat/>
    <w:rsid w:val="00FB2CB9"/>
    <w:pPr>
      <w:pBdr>
        <w:top w:val="single" w:sz="6" w:space="2" w:color="0193CF"/>
        <w:left w:val="single" w:sz="6" w:space="2" w:color="0193CF"/>
      </w:pBdr>
      <w:spacing w:before="300" w:after="0"/>
      <w:outlineLvl w:val="2"/>
    </w:pPr>
    <w:rPr>
      <w:smallCaps/>
      <w:color w:val="0193CF"/>
      <w:spacing w:val="15"/>
      <w:sz w:val="24"/>
      <w:szCs w:val="28"/>
    </w:rPr>
  </w:style>
  <w:style w:type="paragraph" w:styleId="Heading4">
    <w:name w:val="heading 4"/>
    <w:basedOn w:val="Normal"/>
    <w:next w:val="Normal"/>
    <w:link w:val="Heading4Char"/>
    <w:uiPriority w:val="9"/>
    <w:semiHidden/>
    <w:unhideWhenUsed/>
    <w:qFormat/>
    <w:rsid w:val="00FB2CB9"/>
    <w:pPr>
      <w:pBdr>
        <w:top w:val="dotted" w:sz="6" w:space="2" w:color="4F81BD"/>
        <w:left w:val="dotted" w:sz="6" w:space="2" w:color="4F81BD"/>
      </w:pBdr>
      <w:spacing w:before="300" w:after="0"/>
      <w:outlineLvl w:val="3"/>
    </w:pPr>
    <w:rPr>
      <w:smallCaps/>
      <w:color w:val="365F91"/>
      <w:spacing w:val="10"/>
      <w:sz w:val="24"/>
      <w:szCs w:val="22"/>
    </w:rPr>
  </w:style>
  <w:style w:type="paragraph" w:styleId="Heading5">
    <w:name w:val="heading 5"/>
    <w:basedOn w:val="Normal"/>
    <w:next w:val="Normal"/>
    <w:link w:val="Heading5Char"/>
    <w:uiPriority w:val="9"/>
    <w:semiHidden/>
    <w:unhideWhenUsed/>
    <w:qFormat/>
    <w:rsid w:val="001128E9"/>
    <w:pPr>
      <w:pBdr>
        <w:bottom w:val="single" w:sz="6" w:space="1" w:color="4F81BD"/>
      </w:pBdr>
      <w:spacing w:before="300" w:after="0"/>
      <w:outlineLvl w:val="4"/>
    </w:pPr>
    <w:rPr>
      <w:caps/>
      <w:color w:val="365F91"/>
      <w:spacing w:val="10"/>
      <w:szCs w:val="22"/>
    </w:rPr>
  </w:style>
  <w:style w:type="paragraph" w:styleId="Heading6">
    <w:name w:val="heading 6"/>
    <w:basedOn w:val="Normal"/>
    <w:next w:val="Normal"/>
    <w:link w:val="Heading6Char"/>
    <w:uiPriority w:val="9"/>
    <w:semiHidden/>
    <w:unhideWhenUsed/>
    <w:qFormat/>
    <w:rsid w:val="001128E9"/>
    <w:pPr>
      <w:pBdr>
        <w:bottom w:val="dotted" w:sz="6" w:space="1" w:color="4F81BD"/>
      </w:pBdr>
      <w:spacing w:before="300" w:after="0"/>
      <w:outlineLvl w:val="5"/>
    </w:pPr>
    <w:rPr>
      <w:caps/>
      <w:color w:val="365F91"/>
      <w:spacing w:val="10"/>
      <w:szCs w:val="22"/>
    </w:rPr>
  </w:style>
  <w:style w:type="paragraph" w:styleId="Heading7">
    <w:name w:val="heading 7"/>
    <w:basedOn w:val="Normal"/>
    <w:next w:val="Normal"/>
    <w:link w:val="Heading7Char"/>
    <w:uiPriority w:val="9"/>
    <w:semiHidden/>
    <w:unhideWhenUsed/>
    <w:qFormat/>
    <w:rsid w:val="001128E9"/>
    <w:pPr>
      <w:spacing w:before="300" w:after="0"/>
      <w:outlineLvl w:val="6"/>
    </w:pPr>
    <w:rPr>
      <w:caps/>
      <w:color w:val="365F91"/>
      <w:spacing w:val="10"/>
      <w:szCs w:val="22"/>
    </w:rPr>
  </w:style>
  <w:style w:type="paragraph" w:styleId="Heading8">
    <w:name w:val="heading 8"/>
    <w:basedOn w:val="Normal"/>
    <w:next w:val="Normal"/>
    <w:link w:val="Heading8Char"/>
    <w:uiPriority w:val="9"/>
    <w:semiHidden/>
    <w:unhideWhenUsed/>
    <w:qFormat/>
    <w:rsid w:val="001128E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128E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CB9"/>
    <w:rPr>
      <w:b/>
      <w:bCs/>
      <w:smallCaps/>
      <w:color w:val="FFFFFF"/>
      <w:spacing w:val="15"/>
      <w:sz w:val="28"/>
      <w:shd w:val="clear" w:color="auto" w:fill="0193CF"/>
    </w:rPr>
  </w:style>
  <w:style w:type="character" w:customStyle="1" w:styleId="Heading2Char">
    <w:name w:val="Heading 2 Char"/>
    <w:basedOn w:val="DefaultParagraphFont"/>
    <w:link w:val="Heading2"/>
    <w:uiPriority w:val="9"/>
    <w:rsid w:val="00FB2CB9"/>
    <w:rPr>
      <w:smallCaps/>
      <w:spacing w:val="15"/>
      <w:sz w:val="24"/>
      <w:szCs w:val="28"/>
      <w:shd w:val="clear" w:color="auto" w:fill="DBE5F1"/>
    </w:rPr>
  </w:style>
  <w:style w:type="character" w:customStyle="1" w:styleId="Heading3Char">
    <w:name w:val="Heading 3 Char"/>
    <w:basedOn w:val="DefaultParagraphFont"/>
    <w:link w:val="Heading3"/>
    <w:uiPriority w:val="9"/>
    <w:rsid w:val="00FB2CB9"/>
    <w:rPr>
      <w:smallCaps/>
      <w:color w:val="0193CF"/>
      <w:spacing w:val="15"/>
      <w:sz w:val="24"/>
      <w:szCs w:val="28"/>
    </w:rPr>
  </w:style>
  <w:style w:type="character" w:customStyle="1" w:styleId="Heading4Char">
    <w:name w:val="Heading 4 Char"/>
    <w:basedOn w:val="DefaultParagraphFont"/>
    <w:link w:val="Heading4"/>
    <w:uiPriority w:val="9"/>
    <w:semiHidden/>
    <w:rsid w:val="00FB2CB9"/>
    <w:rPr>
      <w:smallCaps/>
      <w:color w:val="365F91"/>
      <w:spacing w:val="10"/>
      <w:sz w:val="24"/>
    </w:rPr>
  </w:style>
  <w:style w:type="character" w:customStyle="1" w:styleId="Heading5Char">
    <w:name w:val="Heading 5 Char"/>
    <w:basedOn w:val="DefaultParagraphFont"/>
    <w:link w:val="Heading5"/>
    <w:uiPriority w:val="9"/>
    <w:semiHidden/>
    <w:rsid w:val="001128E9"/>
    <w:rPr>
      <w:caps/>
      <w:color w:val="365F91"/>
      <w:spacing w:val="10"/>
    </w:rPr>
  </w:style>
  <w:style w:type="character" w:customStyle="1" w:styleId="Heading6Char">
    <w:name w:val="Heading 6 Char"/>
    <w:basedOn w:val="DefaultParagraphFont"/>
    <w:link w:val="Heading6"/>
    <w:uiPriority w:val="9"/>
    <w:semiHidden/>
    <w:rsid w:val="001128E9"/>
    <w:rPr>
      <w:caps/>
      <w:color w:val="365F91"/>
      <w:spacing w:val="10"/>
    </w:rPr>
  </w:style>
  <w:style w:type="character" w:customStyle="1" w:styleId="Heading7Char">
    <w:name w:val="Heading 7 Char"/>
    <w:basedOn w:val="DefaultParagraphFont"/>
    <w:link w:val="Heading7"/>
    <w:uiPriority w:val="9"/>
    <w:semiHidden/>
    <w:rsid w:val="001128E9"/>
    <w:rPr>
      <w:caps/>
      <w:color w:val="365F91"/>
      <w:spacing w:val="10"/>
    </w:rPr>
  </w:style>
  <w:style w:type="character" w:customStyle="1" w:styleId="Heading8Char">
    <w:name w:val="Heading 8 Char"/>
    <w:basedOn w:val="DefaultParagraphFont"/>
    <w:link w:val="Heading8"/>
    <w:uiPriority w:val="9"/>
    <w:semiHidden/>
    <w:rsid w:val="001128E9"/>
    <w:rPr>
      <w:caps/>
      <w:spacing w:val="10"/>
      <w:sz w:val="18"/>
      <w:szCs w:val="18"/>
    </w:rPr>
  </w:style>
  <w:style w:type="character" w:customStyle="1" w:styleId="Heading9Char">
    <w:name w:val="Heading 9 Char"/>
    <w:basedOn w:val="DefaultParagraphFont"/>
    <w:link w:val="Heading9"/>
    <w:uiPriority w:val="9"/>
    <w:semiHidden/>
    <w:rsid w:val="001128E9"/>
    <w:rPr>
      <w:i/>
      <w:caps/>
      <w:spacing w:val="10"/>
      <w:sz w:val="18"/>
      <w:szCs w:val="18"/>
    </w:rPr>
  </w:style>
  <w:style w:type="paragraph" w:styleId="Caption">
    <w:name w:val="caption"/>
    <w:basedOn w:val="Normal"/>
    <w:next w:val="Normal"/>
    <w:uiPriority w:val="35"/>
    <w:semiHidden/>
    <w:unhideWhenUsed/>
    <w:qFormat/>
    <w:rsid w:val="001128E9"/>
    <w:rPr>
      <w:b/>
      <w:bCs/>
      <w:color w:val="365F91"/>
      <w:sz w:val="16"/>
      <w:szCs w:val="16"/>
    </w:rPr>
  </w:style>
  <w:style w:type="paragraph" w:styleId="Title">
    <w:name w:val="Title"/>
    <w:basedOn w:val="Normal"/>
    <w:next w:val="Normal"/>
    <w:link w:val="TitleChar"/>
    <w:uiPriority w:val="10"/>
    <w:qFormat/>
    <w:rsid w:val="00FB2CB9"/>
    <w:pPr>
      <w:spacing w:before="720"/>
    </w:pPr>
    <w:rPr>
      <w:caps/>
      <w:color w:val="0193CF"/>
      <w:spacing w:val="10"/>
      <w:kern w:val="28"/>
      <w:sz w:val="36"/>
      <w:szCs w:val="52"/>
    </w:rPr>
  </w:style>
  <w:style w:type="character" w:customStyle="1" w:styleId="TitleChar">
    <w:name w:val="Title Char"/>
    <w:basedOn w:val="DefaultParagraphFont"/>
    <w:link w:val="Title"/>
    <w:uiPriority w:val="10"/>
    <w:rsid w:val="00FB2CB9"/>
    <w:rPr>
      <w:caps/>
      <w:color w:val="0193CF"/>
      <w:spacing w:val="10"/>
      <w:kern w:val="28"/>
      <w:sz w:val="36"/>
      <w:szCs w:val="52"/>
    </w:rPr>
  </w:style>
  <w:style w:type="paragraph" w:styleId="Subtitle">
    <w:name w:val="Subtitle"/>
    <w:basedOn w:val="Normal"/>
    <w:next w:val="Normal"/>
    <w:link w:val="SubtitleChar"/>
    <w:uiPriority w:val="11"/>
    <w:qFormat/>
    <w:rsid w:val="00FB2CB9"/>
    <w:pPr>
      <w:spacing w:after="1000" w:line="240" w:lineRule="auto"/>
    </w:pPr>
    <w:rPr>
      <w:smallCaps/>
      <w:spacing w:val="10"/>
      <w:sz w:val="24"/>
      <w:szCs w:val="28"/>
    </w:rPr>
  </w:style>
  <w:style w:type="character" w:customStyle="1" w:styleId="SubtitleChar">
    <w:name w:val="Subtitle Char"/>
    <w:basedOn w:val="DefaultParagraphFont"/>
    <w:link w:val="Subtitle"/>
    <w:uiPriority w:val="11"/>
    <w:rsid w:val="00FB2CB9"/>
    <w:rPr>
      <w:smallCaps/>
      <w:spacing w:val="10"/>
      <w:sz w:val="24"/>
      <w:szCs w:val="28"/>
    </w:rPr>
  </w:style>
  <w:style w:type="character" w:styleId="Strong">
    <w:name w:val="Strong"/>
    <w:uiPriority w:val="22"/>
    <w:qFormat/>
    <w:rsid w:val="00FB2CB9"/>
    <w:rPr>
      <w:b/>
      <w:bCs/>
      <w:sz w:val="22"/>
      <w:szCs w:val="24"/>
    </w:rPr>
  </w:style>
  <w:style w:type="character" w:styleId="Emphasis">
    <w:name w:val="Emphasis"/>
    <w:uiPriority w:val="20"/>
    <w:qFormat/>
    <w:rsid w:val="00FB2CB9"/>
    <w:rPr>
      <w:i/>
      <w:spacing w:val="5"/>
      <w:sz w:val="22"/>
      <w:szCs w:val="24"/>
    </w:rPr>
  </w:style>
  <w:style w:type="paragraph" w:styleId="NoSpacing">
    <w:name w:val="No Spacing"/>
    <w:basedOn w:val="Normal"/>
    <w:link w:val="NoSpacingChar"/>
    <w:uiPriority w:val="1"/>
    <w:qFormat/>
    <w:rsid w:val="001128E9"/>
    <w:pPr>
      <w:spacing w:before="0" w:after="0" w:line="240" w:lineRule="auto"/>
    </w:pPr>
  </w:style>
  <w:style w:type="character" w:customStyle="1" w:styleId="NoSpacingChar">
    <w:name w:val="No Spacing Char"/>
    <w:basedOn w:val="DefaultParagraphFont"/>
    <w:link w:val="NoSpacing"/>
    <w:uiPriority w:val="1"/>
    <w:rsid w:val="001128E9"/>
    <w:rPr>
      <w:sz w:val="20"/>
      <w:szCs w:val="20"/>
    </w:rPr>
  </w:style>
  <w:style w:type="paragraph" w:styleId="ListParagraph">
    <w:name w:val="List Paragraph"/>
    <w:basedOn w:val="Normal"/>
    <w:uiPriority w:val="34"/>
    <w:qFormat/>
    <w:rsid w:val="001128E9"/>
    <w:pPr>
      <w:ind w:left="720"/>
      <w:contextualSpacing/>
    </w:pPr>
    <w:rPr>
      <w:sz w:val="24"/>
      <w:szCs w:val="24"/>
    </w:rPr>
  </w:style>
  <w:style w:type="paragraph" w:styleId="Quote">
    <w:name w:val="Quote"/>
    <w:basedOn w:val="Normal"/>
    <w:next w:val="Normal"/>
    <w:link w:val="QuoteChar"/>
    <w:uiPriority w:val="29"/>
    <w:qFormat/>
    <w:rsid w:val="00FB2CB9"/>
    <w:rPr>
      <w:i/>
      <w:iCs/>
      <w:szCs w:val="24"/>
    </w:rPr>
  </w:style>
  <w:style w:type="character" w:customStyle="1" w:styleId="QuoteChar">
    <w:name w:val="Quote Char"/>
    <w:basedOn w:val="DefaultParagraphFont"/>
    <w:link w:val="Quote"/>
    <w:uiPriority w:val="29"/>
    <w:rsid w:val="00FB2CB9"/>
    <w:rPr>
      <w:i/>
      <w:iCs/>
      <w:szCs w:val="24"/>
    </w:rPr>
  </w:style>
  <w:style w:type="paragraph" w:styleId="IntenseQuote">
    <w:name w:val="Intense Quote"/>
    <w:basedOn w:val="Normal"/>
    <w:next w:val="Normal"/>
    <w:link w:val="IntenseQuoteChar"/>
    <w:uiPriority w:val="30"/>
    <w:qFormat/>
    <w:rsid w:val="00FB2CB9"/>
    <w:pPr>
      <w:pBdr>
        <w:top w:val="single" w:sz="4" w:space="10" w:color="4F81BD"/>
        <w:left w:val="single" w:sz="4" w:space="10" w:color="4F81BD"/>
      </w:pBdr>
      <w:spacing w:after="0"/>
      <w:ind w:left="1296" w:right="1152"/>
      <w:jc w:val="both"/>
    </w:pPr>
    <w:rPr>
      <w:i/>
      <w:iCs/>
      <w:color w:val="0193CF"/>
      <w:sz w:val="24"/>
      <w:szCs w:val="28"/>
    </w:rPr>
  </w:style>
  <w:style w:type="character" w:customStyle="1" w:styleId="IntenseQuoteChar">
    <w:name w:val="Intense Quote Char"/>
    <w:basedOn w:val="DefaultParagraphFont"/>
    <w:link w:val="IntenseQuote"/>
    <w:uiPriority w:val="30"/>
    <w:rsid w:val="00FB2CB9"/>
    <w:rPr>
      <w:i/>
      <w:iCs/>
      <w:color w:val="0193CF"/>
      <w:sz w:val="24"/>
      <w:szCs w:val="28"/>
    </w:rPr>
  </w:style>
  <w:style w:type="character" w:styleId="SubtleEmphasis">
    <w:name w:val="Subtle Emphasis"/>
    <w:uiPriority w:val="19"/>
    <w:qFormat/>
    <w:rsid w:val="00FB2CB9"/>
    <w:rPr>
      <w:i/>
      <w:iCs/>
      <w:sz w:val="22"/>
      <w:szCs w:val="24"/>
    </w:rPr>
  </w:style>
  <w:style w:type="character" w:styleId="IntenseEmphasis">
    <w:name w:val="Intense Emphasis"/>
    <w:uiPriority w:val="21"/>
    <w:qFormat/>
    <w:rsid w:val="00FB2CB9"/>
    <w:rPr>
      <w:b/>
      <w:bCs/>
      <w:i/>
      <w:spacing w:val="10"/>
      <w:sz w:val="22"/>
      <w:szCs w:val="24"/>
    </w:rPr>
  </w:style>
  <w:style w:type="character" w:styleId="SubtleReference">
    <w:name w:val="Subtle Reference"/>
    <w:uiPriority w:val="31"/>
    <w:qFormat/>
    <w:rsid w:val="00FB2CB9"/>
    <w:rPr>
      <w:b/>
      <w:bCs/>
      <w:color w:val="0193CF"/>
      <w:sz w:val="22"/>
      <w:szCs w:val="24"/>
    </w:rPr>
  </w:style>
  <w:style w:type="character" w:styleId="IntenseReference">
    <w:name w:val="Intense Reference"/>
    <w:uiPriority w:val="32"/>
    <w:qFormat/>
    <w:rsid w:val="00FB2CB9"/>
    <w:rPr>
      <w:b/>
      <w:bCs/>
      <w:i/>
      <w:iCs/>
      <w:color w:val="0193CF"/>
      <w:sz w:val="22"/>
      <w:szCs w:val="24"/>
    </w:rPr>
  </w:style>
  <w:style w:type="character" w:styleId="BookTitle">
    <w:name w:val="Book Title"/>
    <w:uiPriority w:val="33"/>
    <w:qFormat/>
    <w:rsid w:val="00FB2CB9"/>
    <w:rPr>
      <w:b/>
      <w:bCs/>
      <w:i/>
      <w:iCs/>
      <w:spacing w:val="9"/>
      <w:sz w:val="22"/>
      <w:szCs w:val="24"/>
    </w:rPr>
  </w:style>
  <w:style w:type="paragraph" w:styleId="TOCHeading">
    <w:name w:val="TOC Heading"/>
    <w:basedOn w:val="Heading1"/>
    <w:next w:val="Normal"/>
    <w:uiPriority w:val="39"/>
    <w:unhideWhenUsed/>
    <w:qFormat/>
    <w:rsid w:val="001128E9"/>
    <w:pPr>
      <w:outlineLvl w:val="9"/>
    </w:pPr>
  </w:style>
  <w:style w:type="table" w:styleId="TableGrid">
    <w:name w:val="Table Grid"/>
    <w:basedOn w:val="TableNormal"/>
    <w:uiPriority w:val="59"/>
    <w:rsid w:val="00BB5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53E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3ED"/>
    <w:rPr>
      <w:rFonts w:ascii="Tahoma" w:hAnsi="Tahoma" w:cs="Tahoma"/>
      <w:sz w:val="16"/>
      <w:szCs w:val="16"/>
    </w:rPr>
  </w:style>
  <w:style w:type="paragraph" w:styleId="TOC1">
    <w:name w:val="toc 1"/>
    <w:basedOn w:val="Normal"/>
    <w:next w:val="Normal"/>
    <w:autoRedefine/>
    <w:uiPriority w:val="39"/>
    <w:unhideWhenUsed/>
    <w:rsid w:val="002E5A58"/>
  </w:style>
  <w:style w:type="paragraph" w:styleId="TOC3">
    <w:name w:val="toc 3"/>
    <w:basedOn w:val="Normal"/>
    <w:next w:val="Normal"/>
    <w:autoRedefine/>
    <w:uiPriority w:val="39"/>
    <w:unhideWhenUsed/>
    <w:rsid w:val="002E5A58"/>
    <w:pPr>
      <w:ind w:left="440"/>
    </w:pPr>
  </w:style>
  <w:style w:type="character" w:styleId="Hyperlink">
    <w:name w:val="Hyperlink"/>
    <w:basedOn w:val="DefaultParagraphFont"/>
    <w:uiPriority w:val="99"/>
    <w:unhideWhenUsed/>
    <w:rsid w:val="002E5A58"/>
    <w:rPr>
      <w:color w:val="0000FF"/>
      <w:u w:val="single"/>
    </w:rPr>
  </w:style>
  <w:style w:type="character" w:styleId="CommentReference">
    <w:name w:val="annotation reference"/>
    <w:basedOn w:val="DefaultParagraphFont"/>
    <w:uiPriority w:val="99"/>
    <w:semiHidden/>
    <w:unhideWhenUsed/>
    <w:rsid w:val="009F6620"/>
    <w:rPr>
      <w:sz w:val="16"/>
      <w:szCs w:val="16"/>
    </w:rPr>
  </w:style>
  <w:style w:type="paragraph" w:styleId="CommentText">
    <w:name w:val="annotation text"/>
    <w:basedOn w:val="Normal"/>
    <w:link w:val="CommentTextChar"/>
    <w:uiPriority w:val="99"/>
    <w:semiHidden/>
    <w:unhideWhenUsed/>
    <w:rsid w:val="009F6620"/>
    <w:pPr>
      <w:spacing w:line="240" w:lineRule="auto"/>
    </w:pPr>
    <w:rPr>
      <w:sz w:val="20"/>
    </w:rPr>
  </w:style>
  <w:style w:type="character" w:customStyle="1" w:styleId="CommentTextChar">
    <w:name w:val="Comment Text Char"/>
    <w:basedOn w:val="DefaultParagraphFont"/>
    <w:link w:val="CommentText"/>
    <w:uiPriority w:val="99"/>
    <w:semiHidden/>
    <w:rsid w:val="009F6620"/>
    <w:rPr>
      <w:lang w:val="en-US" w:eastAsia="en-US" w:bidi="en-US"/>
    </w:rPr>
  </w:style>
  <w:style w:type="paragraph" w:styleId="CommentSubject">
    <w:name w:val="annotation subject"/>
    <w:basedOn w:val="CommentText"/>
    <w:next w:val="CommentText"/>
    <w:link w:val="CommentSubjectChar"/>
    <w:uiPriority w:val="99"/>
    <w:semiHidden/>
    <w:unhideWhenUsed/>
    <w:rsid w:val="009F6620"/>
    <w:rPr>
      <w:b/>
      <w:bCs/>
    </w:rPr>
  </w:style>
  <w:style w:type="character" w:customStyle="1" w:styleId="CommentSubjectChar">
    <w:name w:val="Comment Subject Char"/>
    <w:basedOn w:val="CommentTextChar"/>
    <w:link w:val="CommentSubject"/>
    <w:uiPriority w:val="99"/>
    <w:semiHidden/>
    <w:rsid w:val="009F6620"/>
    <w:rPr>
      <w:b/>
      <w:bCs/>
      <w:lang w:val="en-US" w:eastAsia="en-US" w:bidi="en-US"/>
    </w:rPr>
  </w:style>
  <w:style w:type="paragraph" w:styleId="FootnoteText">
    <w:name w:val="footnote text"/>
    <w:basedOn w:val="Normal"/>
    <w:link w:val="FootnoteTextChar"/>
    <w:uiPriority w:val="99"/>
    <w:semiHidden/>
    <w:unhideWhenUsed/>
    <w:rsid w:val="00096740"/>
    <w:pPr>
      <w:spacing w:before="0" w:after="0" w:line="240" w:lineRule="auto"/>
    </w:pPr>
    <w:rPr>
      <w:sz w:val="20"/>
    </w:rPr>
  </w:style>
  <w:style w:type="character" w:customStyle="1" w:styleId="FootnoteTextChar">
    <w:name w:val="Footnote Text Char"/>
    <w:basedOn w:val="DefaultParagraphFont"/>
    <w:link w:val="FootnoteText"/>
    <w:uiPriority w:val="99"/>
    <w:semiHidden/>
    <w:rsid w:val="00096740"/>
    <w:rPr>
      <w:lang w:val="en-US" w:eastAsia="en-US" w:bidi="en-US"/>
    </w:rPr>
  </w:style>
  <w:style w:type="character" w:styleId="FootnoteReference">
    <w:name w:val="footnote reference"/>
    <w:basedOn w:val="DefaultParagraphFont"/>
    <w:uiPriority w:val="99"/>
    <w:semiHidden/>
    <w:unhideWhenUsed/>
    <w:rsid w:val="00096740"/>
    <w:rPr>
      <w:vertAlign w:val="superscript"/>
    </w:rPr>
  </w:style>
  <w:style w:type="paragraph" w:styleId="Revision">
    <w:name w:val="Revision"/>
    <w:hidden/>
    <w:uiPriority w:val="99"/>
    <w:semiHidden/>
    <w:rsid w:val="000A2C7F"/>
    <w:rPr>
      <w:sz w:val="22"/>
      <w:lang w:val="en-US" w:eastAsia="en-US" w:bidi="en-US"/>
    </w:rPr>
  </w:style>
  <w:style w:type="paragraph" w:styleId="Header">
    <w:name w:val="header"/>
    <w:basedOn w:val="Normal"/>
    <w:link w:val="HeaderChar"/>
    <w:uiPriority w:val="99"/>
    <w:unhideWhenUsed/>
    <w:rsid w:val="00391C0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91C02"/>
    <w:rPr>
      <w:sz w:val="22"/>
      <w:lang w:val="en-US" w:eastAsia="en-US" w:bidi="en-US"/>
    </w:rPr>
  </w:style>
  <w:style w:type="paragraph" w:styleId="Footer">
    <w:name w:val="footer"/>
    <w:basedOn w:val="Normal"/>
    <w:link w:val="FooterChar"/>
    <w:uiPriority w:val="99"/>
    <w:unhideWhenUsed/>
    <w:rsid w:val="00391C0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91C02"/>
    <w:rPr>
      <w:sz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19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nvironmentalhealth@scill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10CA4-40BB-4102-9FD9-615F14E8C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3305</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22100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richardb</dc:creator>
  <cp:lastModifiedBy>Michael Coates</cp:lastModifiedBy>
  <cp:revision>2</cp:revision>
  <dcterms:created xsi:type="dcterms:W3CDTF">2020-11-11T12:35:00Z</dcterms:created>
  <dcterms:modified xsi:type="dcterms:W3CDTF">2020-11-11T12:35:00Z</dcterms:modified>
</cp:coreProperties>
</file>