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16" w:rsidRDefault="00C94F16" w:rsidP="00C94F16">
      <w:pPr>
        <w:jc w:val="right"/>
        <w:rPr>
          <w:rFonts w:ascii="Arial" w:hAnsi="Arial" w:cs="Arial"/>
          <w:b/>
          <w:color w:val="5F497A"/>
          <w:sz w:val="40"/>
          <w:szCs w:val="40"/>
        </w:rPr>
      </w:pPr>
    </w:p>
    <w:p w:rsidR="00C94F16" w:rsidRDefault="00C94F16" w:rsidP="00C94F16">
      <w:pPr>
        <w:jc w:val="right"/>
        <w:rPr>
          <w:rFonts w:ascii="Arial" w:hAnsi="Arial" w:cs="Arial"/>
          <w:b/>
          <w:color w:val="5F497A"/>
          <w:sz w:val="40"/>
          <w:szCs w:val="40"/>
        </w:rPr>
      </w:pPr>
    </w:p>
    <w:p w:rsidR="00C94F16" w:rsidRPr="0071529C" w:rsidRDefault="00AF6315" w:rsidP="00C94F16">
      <w:pPr>
        <w:jc w:val="right"/>
        <w:rPr>
          <w:rFonts w:ascii="Arial" w:hAnsi="Arial" w:cs="Arial"/>
          <w:b/>
          <w:color w:val="5F497A"/>
          <w:sz w:val="40"/>
          <w:szCs w:val="40"/>
        </w:rPr>
      </w:pPr>
      <w:r>
        <w:rPr>
          <w:rFonts w:ascii="Arial" w:hAnsi="Arial" w:cs="Arial"/>
          <w:b/>
          <w:color w:val="5F497A"/>
          <w:sz w:val="40"/>
          <w:szCs w:val="40"/>
        </w:rPr>
        <w:t>Council for</w:t>
      </w:r>
      <w:r w:rsidR="00087910">
        <w:rPr>
          <w:rFonts w:ascii="Arial" w:hAnsi="Arial" w:cs="Arial"/>
          <w:b/>
          <w:color w:val="5F497A"/>
          <w:sz w:val="40"/>
          <w:szCs w:val="40"/>
        </w:rPr>
        <w:t xml:space="preserve"> the Isles of Scilly </w:t>
      </w:r>
    </w:p>
    <w:p w:rsidR="00C94F16" w:rsidRDefault="00C94F16" w:rsidP="00C94F16">
      <w:pPr>
        <w:jc w:val="right"/>
        <w:rPr>
          <w:rFonts w:ascii="Arial" w:hAnsi="Arial" w:cs="Arial"/>
          <w:b/>
          <w:color w:val="5F497A"/>
          <w:sz w:val="40"/>
          <w:szCs w:val="40"/>
        </w:rPr>
      </w:pPr>
    </w:p>
    <w:p w:rsidR="00C94F16" w:rsidRPr="00CB6640" w:rsidRDefault="00087910" w:rsidP="00C94F16">
      <w:pPr>
        <w:jc w:val="right"/>
        <w:rPr>
          <w:rFonts w:ascii="Arial" w:hAnsi="Arial" w:cs="Arial"/>
          <w:b/>
          <w:color w:val="5F497A"/>
          <w:sz w:val="40"/>
          <w:szCs w:val="40"/>
        </w:rPr>
      </w:pPr>
      <w:r>
        <w:rPr>
          <w:rFonts w:ascii="Arial" w:hAnsi="Arial" w:cs="Arial"/>
          <w:b/>
          <w:color w:val="5F497A"/>
          <w:sz w:val="40"/>
          <w:szCs w:val="40"/>
        </w:rPr>
        <w:t>Housing Needs Survey 2012</w:t>
      </w:r>
    </w:p>
    <w:p w:rsidR="00C94F16" w:rsidRDefault="00C94F16" w:rsidP="00C94F16">
      <w:pPr>
        <w:jc w:val="right"/>
        <w:rPr>
          <w:rFonts w:ascii="Arial" w:hAnsi="Arial" w:cs="Arial"/>
          <w:b/>
          <w:color w:val="5F497A"/>
          <w:sz w:val="40"/>
          <w:szCs w:val="40"/>
        </w:rPr>
      </w:pPr>
    </w:p>
    <w:p w:rsidR="00C94F16" w:rsidRPr="00DF4D66" w:rsidRDefault="009A2391" w:rsidP="00DF4D66">
      <w:pPr>
        <w:jc w:val="right"/>
        <w:rPr>
          <w:rFonts w:ascii="Arial" w:hAnsi="Arial" w:cs="Arial"/>
          <w:b/>
          <w:color w:val="5F497A"/>
          <w:sz w:val="40"/>
          <w:szCs w:val="40"/>
        </w:rPr>
        <w:sectPr w:rsidR="00C94F16" w:rsidRPr="00DF4D66" w:rsidSect="00C94F16">
          <w:headerReference w:type="default" r:id="rId8"/>
          <w:footerReference w:type="default" r:id="rId9"/>
          <w:pgSz w:w="11906" w:h="16838"/>
          <w:pgMar w:top="1418" w:right="1418" w:bottom="1418" w:left="1440" w:header="709" w:footer="709" w:gutter="0"/>
          <w:cols w:space="708"/>
          <w:docGrid w:linePitch="360"/>
        </w:sectPr>
      </w:pPr>
      <w:r>
        <w:rPr>
          <w:rFonts w:ascii="Arial" w:hAnsi="Arial" w:cs="Arial"/>
          <w:b/>
          <w:color w:val="5F497A"/>
          <w:sz w:val="40"/>
          <w:szCs w:val="40"/>
        </w:rPr>
        <w:t>January 2013</w:t>
      </w:r>
    </w:p>
    <w:p w:rsidR="00C94F16" w:rsidRDefault="00C94F16" w:rsidP="00C94F16">
      <w:pPr>
        <w:pStyle w:val="Legal1"/>
        <w:numPr>
          <w:ilvl w:val="0"/>
          <w:numId w:val="0"/>
        </w:numPr>
        <w:spacing w:before="120" w:after="120"/>
        <w:rPr>
          <w:color w:val="403152"/>
          <w:sz w:val="24"/>
          <w:szCs w:val="24"/>
        </w:rPr>
      </w:pPr>
    </w:p>
    <w:p w:rsidR="00C94F16" w:rsidRDefault="00C94F16" w:rsidP="00C94F16">
      <w:pPr>
        <w:pStyle w:val="TOC1"/>
      </w:pPr>
    </w:p>
    <w:p w:rsidR="00BA1423" w:rsidRDefault="00C94F16" w:rsidP="00C94F16">
      <w:pPr>
        <w:pStyle w:val="TOC1"/>
        <w:jc w:val="right"/>
        <w:rPr>
          <w:noProof/>
        </w:rPr>
      </w:pPr>
      <w:r w:rsidRPr="00FC4C8D">
        <w:rPr>
          <w:rFonts w:ascii="Arial" w:hAnsi="Arial" w:cs="Arial"/>
          <w:b/>
          <w:color w:val="403152" w:themeColor="accent4" w:themeShade="80"/>
          <w:sz w:val="24"/>
          <w:szCs w:val="24"/>
        </w:rPr>
        <w:t>Page</w:t>
      </w:r>
      <w:r w:rsidR="004A464E" w:rsidRPr="004A464E">
        <w:rPr>
          <w:rFonts w:ascii="Arial" w:hAnsi="Arial" w:cs="Arial"/>
          <w:b/>
          <w:color w:val="403152" w:themeColor="accent4" w:themeShade="80"/>
          <w:sz w:val="24"/>
          <w:szCs w:val="24"/>
        </w:rPr>
        <w:fldChar w:fldCharType="begin"/>
      </w:r>
      <w:r w:rsidRPr="00FC4C8D">
        <w:rPr>
          <w:rFonts w:ascii="Arial" w:hAnsi="Arial" w:cs="Arial"/>
          <w:b/>
          <w:color w:val="403152" w:themeColor="accent4" w:themeShade="80"/>
          <w:sz w:val="24"/>
          <w:szCs w:val="24"/>
        </w:rPr>
        <w:instrText xml:space="preserve"> TOC \o "1-1" \h \z \t "Legal 1,1" </w:instrText>
      </w:r>
      <w:r w:rsidR="004A464E" w:rsidRPr="004A464E">
        <w:rPr>
          <w:rFonts w:ascii="Arial" w:hAnsi="Arial" w:cs="Arial"/>
          <w:b/>
          <w:color w:val="403152" w:themeColor="accent4" w:themeShade="80"/>
          <w:sz w:val="24"/>
          <w:szCs w:val="24"/>
        </w:rPr>
        <w:fldChar w:fldCharType="separate"/>
      </w:r>
    </w:p>
    <w:p w:rsidR="00BA1423" w:rsidRDefault="00BA1423">
      <w:pPr>
        <w:pStyle w:val="TOC1"/>
        <w:rPr>
          <w:rStyle w:val="Hyperlink"/>
          <w:noProof/>
        </w:rPr>
      </w:pPr>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3" w:history="1">
        <w:r w:rsidR="00BA1423" w:rsidRPr="00BA1423">
          <w:rPr>
            <w:rStyle w:val="Hyperlink"/>
            <w:rFonts w:ascii="Arial" w:hAnsi="Arial" w:cs="Arial"/>
            <w:b/>
            <w:noProof/>
            <w:color w:val="403152" w:themeColor="accent4" w:themeShade="80"/>
          </w:rPr>
          <w:t>1</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Executive summary</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_Toc343686373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3</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4" w:history="1">
        <w:r w:rsidR="00BA1423" w:rsidRPr="00BA1423">
          <w:rPr>
            <w:rStyle w:val="Hyperlink"/>
            <w:rFonts w:ascii="Arial" w:hAnsi="Arial" w:cs="Arial"/>
            <w:b/>
            <w:noProof/>
            <w:color w:val="403152" w:themeColor="accent4" w:themeShade="80"/>
          </w:rPr>
          <w:t>2</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Introduction</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_Toc343686374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4</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5" w:history="1">
        <w:r w:rsidR="00BA1423" w:rsidRPr="00BA1423">
          <w:rPr>
            <w:rStyle w:val="Hyperlink"/>
            <w:rFonts w:ascii="Arial" w:hAnsi="Arial" w:cs="Arial"/>
            <w:b/>
            <w:noProof/>
            <w:color w:val="403152" w:themeColor="accent4" w:themeShade="80"/>
          </w:rPr>
          <w:t>3</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Context for housing in Isles of Scilly</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_Toc343686375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5</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6" w:history="1">
        <w:r w:rsidR="00BA1423" w:rsidRPr="00BA1423">
          <w:rPr>
            <w:rStyle w:val="Hyperlink"/>
            <w:rFonts w:ascii="Arial" w:hAnsi="Arial" w:cs="Arial"/>
            <w:b/>
            <w:noProof/>
            <w:color w:val="403152" w:themeColor="accent4" w:themeShade="80"/>
          </w:rPr>
          <w:t>4</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Methodology for the Housing Needs Survey</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_Toc343686376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8</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7" w:history="1">
        <w:r w:rsidR="00BA1423" w:rsidRPr="00BA1423">
          <w:rPr>
            <w:rStyle w:val="Hyperlink"/>
            <w:rFonts w:ascii="Arial" w:hAnsi="Arial" w:cs="Arial"/>
            <w:b/>
            <w:noProof/>
            <w:color w:val="403152" w:themeColor="accent4" w:themeShade="80"/>
          </w:rPr>
          <w:t>5</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Key characteristics of the sample</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_Toc343686377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10</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8" w:history="1">
        <w:r w:rsidR="00BA1423" w:rsidRPr="00BA1423">
          <w:rPr>
            <w:rStyle w:val="Hyperlink"/>
            <w:rFonts w:ascii="Arial" w:hAnsi="Arial" w:cs="Arial"/>
            <w:b/>
            <w:noProof/>
            <w:color w:val="403152" w:themeColor="accent4" w:themeShade="80"/>
          </w:rPr>
          <w:t>6</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Satisfaction with housing and housing need</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_Toc343686378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16</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79" w:history="1">
        <w:r w:rsidR="00BA1423" w:rsidRPr="00BA1423">
          <w:rPr>
            <w:rStyle w:val="Hyperlink"/>
            <w:rFonts w:ascii="Arial" w:hAnsi="Arial" w:cs="Arial"/>
            <w:b/>
            <w:noProof/>
            <w:color w:val="403152" w:themeColor="accent4" w:themeShade="80"/>
          </w:rPr>
          <w:t>7</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Income and employment, housing costs and the housing register</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_Toc343686379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23</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80" w:history="1">
        <w:r w:rsidR="00BA1423" w:rsidRPr="00BA1423">
          <w:rPr>
            <w:rStyle w:val="Hyperlink"/>
            <w:rFonts w:ascii="Arial" w:hAnsi="Arial" w:cs="Arial"/>
            <w:b/>
            <w:noProof/>
            <w:color w:val="403152" w:themeColor="accent4" w:themeShade="80"/>
          </w:rPr>
          <w:t>8</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Future housing on Isles of Scilly</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_Toc343686380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27</w:t>
        </w:r>
        <w:r w:rsidRPr="00BA1423">
          <w:rPr>
            <w:rFonts w:ascii="Arial" w:hAnsi="Arial" w:cs="Arial"/>
            <w:b/>
            <w:noProof/>
            <w:webHidden/>
            <w:color w:val="403152" w:themeColor="accent4" w:themeShade="80"/>
          </w:rPr>
          <w:fldChar w:fldCharType="end"/>
        </w:r>
      </w:hyperlink>
    </w:p>
    <w:p w:rsidR="00BA1423" w:rsidRPr="00BA1423" w:rsidRDefault="004A464E">
      <w:pPr>
        <w:pStyle w:val="TOC1"/>
        <w:rPr>
          <w:rFonts w:ascii="Arial" w:eastAsiaTheme="minorEastAsia" w:hAnsi="Arial" w:cs="Arial"/>
          <w:b/>
          <w:noProof/>
          <w:color w:val="403152" w:themeColor="accent4" w:themeShade="80"/>
          <w:lang w:eastAsia="en-GB"/>
        </w:rPr>
      </w:pPr>
      <w:hyperlink w:anchor="_Toc343686381" w:history="1">
        <w:r w:rsidR="00BA1423" w:rsidRPr="00BA1423">
          <w:rPr>
            <w:rStyle w:val="Hyperlink"/>
            <w:rFonts w:ascii="Arial" w:hAnsi="Arial" w:cs="Arial"/>
            <w:b/>
            <w:noProof/>
            <w:color w:val="403152" w:themeColor="accent4" w:themeShade="80"/>
          </w:rPr>
          <w:t>9</w:t>
        </w:r>
        <w:r w:rsidR="00BA1423" w:rsidRPr="00BA1423">
          <w:rPr>
            <w:rFonts w:ascii="Arial" w:eastAsiaTheme="minorEastAsia" w:hAnsi="Arial" w:cs="Arial"/>
            <w:b/>
            <w:noProof/>
            <w:color w:val="403152" w:themeColor="accent4" w:themeShade="80"/>
            <w:lang w:eastAsia="en-GB"/>
          </w:rPr>
          <w:tab/>
        </w:r>
        <w:r w:rsidR="00BA1423" w:rsidRPr="00BA1423">
          <w:rPr>
            <w:rStyle w:val="Hyperlink"/>
            <w:rFonts w:ascii="Arial" w:hAnsi="Arial" w:cs="Arial"/>
            <w:b/>
            <w:noProof/>
            <w:color w:val="403152" w:themeColor="accent4" w:themeShade="80"/>
          </w:rPr>
          <w:t>Conclusions</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_Toc343686381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29</w:t>
        </w:r>
        <w:r w:rsidRPr="00BA1423">
          <w:rPr>
            <w:rFonts w:ascii="Arial" w:hAnsi="Arial" w:cs="Arial"/>
            <w:b/>
            <w:noProof/>
            <w:webHidden/>
            <w:color w:val="403152" w:themeColor="accent4" w:themeShade="80"/>
          </w:rPr>
          <w:fldChar w:fldCharType="end"/>
        </w:r>
      </w:hyperlink>
    </w:p>
    <w:p w:rsidR="00BA1423" w:rsidRPr="00BA1423" w:rsidRDefault="00BA1423">
      <w:pPr>
        <w:pStyle w:val="TOC1"/>
        <w:rPr>
          <w:rStyle w:val="Hyperlink"/>
          <w:rFonts w:ascii="Arial" w:hAnsi="Arial" w:cs="Arial"/>
          <w:b/>
          <w:noProof/>
          <w:color w:val="403152" w:themeColor="accent4" w:themeShade="80"/>
        </w:rPr>
      </w:pPr>
    </w:p>
    <w:p w:rsidR="00BA1423" w:rsidRPr="00BA1423" w:rsidRDefault="004A464E">
      <w:pPr>
        <w:pStyle w:val="TOC1"/>
        <w:rPr>
          <w:rFonts w:ascii="Arial" w:eastAsiaTheme="minorEastAsia" w:hAnsi="Arial" w:cs="Arial"/>
          <w:b/>
          <w:noProof/>
          <w:color w:val="403152" w:themeColor="accent4" w:themeShade="80"/>
          <w:lang w:eastAsia="en-GB"/>
        </w:rPr>
      </w:pPr>
      <w:hyperlink w:anchor="_Toc343686382" w:history="1">
        <w:r w:rsidR="00BA1423" w:rsidRPr="00BA1423">
          <w:rPr>
            <w:rStyle w:val="Hyperlink"/>
            <w:rFonts w:ascii="Arial" w:hAnsi="Arial" w:cs="Arial"/>
            <w:b/>
            <w:noProof/>
            <w:color w:val="403152" w:themeColor="accent4" w:themeShade="80"/>
          </w:rPr>
          <w:t>Appendix A – Survey</w:t>
        </w:r>
        <w:r w:rsidR="00BA1423" w:rsidRPr="00BA1423">
          <w:rPr>
            <w:rFonts w:ascii="Arial" w:hAnsi="Arial" w:cs="Arial"/>
            <w:b/>
            <w:noProof/>
            <w:webHidden/>
            <w:color w:val="403152" w:themeColor="accent4" w:themeShade="80"/>
          </w:rPr>
          <w:tab/>
        </w:r>
        <w:r w:rsidRPr="00BA1423">
          <w:rPr>
            <w:rFonts w:ascii="Arial" w:hAnsi="Arial" w:cs="Arial"/>
            <w:b/>
            <w:noProof/>
            <w:webHidden/>
            <w:color w:val="403152" w:themeColor="accent4" w:themeShade="80"/>
          </w:rPr>
          <w:fldChar w:fldCharType="begin"/>
        </w:r>
        <w:r w:rsidR="00BA1423" w:rsidRPr="00BA1423">
          <w:rPr>
            <w:rFonts w:ascii="Arial" w:hAnsi="Arial" w:cs="Arial"/>
            <w:b/>
            <w:noProof/>
            <w:webHidden/>
            <w:color w:val="403152" w:themeColor="accent4" w:themeShade="80"/>
          </w:rPr>
          <w:instrText xml:space="preserve"> PAGEREF _Toc343686382 \h </w:instrText>
        </w:r>
        <w:r w:rsidRPr="00BA1423">
          <w:rPr>
            <w:rFonts w:ascii="Arial" w:hAnsi="Arial" w:cs="Arial"/>
            <w:b/>
            <w:noProof/>
            <w:webHidden/>
            <w:color w:val="403152" w:themeColor="accent4" w:themeShade="80"/>
          </w:rPr>
        </w:r>
        <w:r w:rsidRPr="00BA1423">
          <w:rPr>
            <w:rFonts w:ascii="Arial" w:hAnsi="Arial" w:cs="Arial"/>
            <w:b/>
            <w:noProof/>
            <w:webHidden/>
            <w:color w:val="403152" w:themeColor="accent4" w:themeShade="80"/>
          </w:rPr>
          <w:fldChar w:fldCharType="separate"/>
        </w:r>
        <w:r w:rsidR="002B3889">
          <w:rPr>
            <w:rFonts w:ascii="Arial" w:hAnsi="Arial" w:cs="Arial"/>
            <w:b/>
            <w:noProof/>
            <w:webHidden/>
            <w:color w:val="403152" w:themeColor="accent4" w:themeShade="80"/>
          </w:rPr>
          <w:t>30</w:t>
        </w:r>
        <w:r w:rsidRPr="00BA1423">
          <w:rPr>
            <w:rFonts w:ascii="Arial" w:hAnsi="Arial" w:cs="Arial"/>
            <w:b/>
            <w:noProof/>
            <w:webHidden/>
            <w:color w:val="403152" w:themeColor="accent4" w:themeShade="80"/>
          </w:rPr>
          <w:fldChar w:fldCharType="end"/>
        </w:r>
      </w:hyperlink>
    </w:p>
    <w:p w:rsidR="00C94F16" w:rsidRPr="006F2E65" w:rsidRDefault="004A464E" w:rsidP="00C94F16">
      <w:pPr>
        <w:pStyle w:val="Legal1"/>
        <w:numPr>
          <w:ilvl w:val="0"/>
          <w:numId w:val="0"/>
        </w:numPr>
        <w:spacing w:before="120" w:after="120"/>
        <w:rPr>
          <w:color w:val="403152"/>
          <w:sz w:val="24"/>
          <w:szCs w:val="24"/>
        </w:rPr>
        <w:sectPr w:rsidR="00C94F16" w:rsidRPr="006F2E65" w:rsidSect="00D775D4">
          <w:headerReference w:type="even" r:id="rId10"/>
          <w:footerReference w:type="default" r:id="rId11"/>
          <w:headerReference w:type="first" r:id="rId12"/>
          <w:pgSz w:w="11906" w:h="16838"/>
          <w:pgMar w:top="1418" w:right="1440" w:bottom="1418" w:left="1418" w:header="709" w:footer="709" w:gutter="0"/>
          <w:cols w:space="708"/>
          <w:docGrid w:linePitch="360"/>
        </w:sectPr>
      </w:pPr>
      <w:r w:rsidRPr="00FC4C8D">
        <w:rPr>
          <w:rFonts w:ascii="Arial" w:hAnsi="Arial" w:cs="Arial"/>
          <w:color w:val="403152" w:themeColor="accent4" w:themeShade="80"/>
          <w:sz w:val="24"/>
          <w:szCs w:val="24"/>
        </w:rPr>
        <w:fldChar w:fldCharType="end"/>
      </w:r>
      <w:r w:rsidR="00C94F16">
        <w:rPr>
          <w:rFonts w:ascii="Arial" w:hAnsi="Arial" w:cs="Arial"/>
          <w:noProof/>
          <w:vanish/>
          <w:color w:val="0000FF"/>
          <w:sz w:val="27"/>
          <w:szCs w:val="27"/>
          <w:lang w:eastAsia="en-GB"/>
        </w:rPr>
        <w:drawing>
          <wp:inline distT="0" distB="0" distL="0" distR="0">
            <wp:extent cx="1572260" cy="356870"/>
            <wp:effectExtent l="0" t="0" r="8890" b="5080"/>
            <wp:docPr id="8" name="Picture 8" descr="http://t1.gstatic.com/images?q=tbn:ANd9GcTEjbK3yiPJpoiLqsrNVy4XmN8z_tsXflzXjsyp7q51BzGM-d8gh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EjbK3yiPJpoiLqsrNVy4XmN8z_tsXflzXjsyp7q51BzGM-d8ghA">
                      <a:hlinkClick r:id="rId13"/>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2260" cy="356870"/>
                    </a:xfrm>
                    <a:prstGeom prst="rect">
                      <a:avLst/>
                    </a:prstGeom>
                    <a:noFill/>
                    <a:ln>
                      <a:noFill/>
                    </a:ln>
                  </pic:spPr>
                </pic:pic>
              </a:graphicData>
            </a:graphic>
          </wp:inline>
        </w:drawing>
      </w:r>
      <w:r w:rsidR="00C94F16" w:rsidRPr="006F2E65">
        <w:rPr>
          <w:color w:val="403152"/>
          <w:sz w:val="24"/>
          <w:szCs w:val="24"/>
        </w:rPr>
        <w:br w:type="page"/>
      </w:r>
    </w:p>
    <w:p w:rsidR="00C94F16" w:rsidRPr="00D70A05" w:rsidRDefault="0087683A" w:rsidP="000073B1">
      <w:pPr>
        <w:pStyle w:val="Legal1"/>
        <w:numPr>
          <w:ilvl w:val="0"/>
          <w:numId w:val="3"/>
        </w:numPr>
        <w:spacing w:before="120" w:after="60"/>
        <w:rPr>
          <w:color w:val="403152"/>
          <w:sz w:val="24"/>
          <w:szCs w:val="24"/>
        </w:rPr>
      </w:pPr>
      <w:bookmarkStart w:id="0" w:name="_Toc343686373"/>
      <w:r>
        <w:rPr>
          <w:color w:val="403152"/>
          <w:sz w:val="24"/>
          <w:szCs w:val="24"/>
        </w:rPr>
        <w:lastRenderedPageBreak/>
        <w:t>Executive summary</w:t>
      </w:r>
      <w:bookmarkEnd w:id="0"/>
    </w:p>
    <w:p w:rsidR="00DF4D66" w:rsidRDefault="00D63ABD" w:rsidP="00DF4D66">
      <w:pPr>
        <w:pStyle w:val="Legal3"/>
        <w:spacing w:before="120" w:after="120"/>
        <w:ind w:left="709" w:hanging="709"/>
      </w:pPr>
      <w:r>
        <w:t>This report presents the findings from the Housing Needs Survey 2012 (HNS2012) for the Council of the Isles of Scilly. The survey follows a previous exercise completed in 2005 and aims to provide an up-to-date assessment of housing need for residents on the Isles of Scilly (IOS).</w:t>
      </w:r>
    </w:p>
    <w:p w:rsidR="00D63ABD" w:rsidRDefault="00D63ABD" w:rsidP="00DF4D66">
      <w:pPr>
        <w:pStyle w:val="Legal3"/>
        <w:spacing w:before="120" w:after="120"/>
        <w:ind w:left="709" w:hanging="709"/>
      </w:pPr>
      <w:r>
        <w:t>The survey was conducted during the summer and early autumn of 2012</w:t>
      </w:r>
      <w:r w:rsidR="00460194">
        <w:t>. The survey was available for completion in both online and hard copy formats. To supplement the information collected from the survey, in this report we also present relevant data collected from other sources such as the 2011 Census, Department for Communities and Local Government (DCLG), National Office of Statistics etc.</w:t>
      </w:r>
    </w:p>
    <w:p w:rsidR="00460194" w:rsidRDefault="00460194" w:rsidP="00DF4D66">
      <w:pPr>
        <w:pStyle w:val="Legal3"/>
        <w:spacing w:before="120" w:after="120"/>
        <w:ind w:left="709" w:hanging="709"/>
      </w:pPr>
      <w:r>
        <w:t>Although the survey elicited more than 80 responses, as only one response was allowed per household a number of responses were eliminated from our sample. The final sample size for the analysis was 70. This is significantly lower than the previous exercise in 2005 (which had a sample size of 299) and represents only 7.1% of the households on IOS. A number of reasons for the smaller sample size have been speculated including</w:t>
      </w:r>
      <w:r w:rsidR="00737AAE">
        <w:t xml:space="preserve">: </w:t>
      </w:r>
      <w:r>
        <w:t>the survey not being posted to households</w:t>
      </w:r>
      <w:r w:rsidR="00737AAE">
        <w:t xml:space="preserve">; </w:t>
      </w:r>
      <w:r>
        <w:t>the survey being completed over the summer period</w:t>
      </w:r>
      <w:r w:rsidR="00737AAE">
        <w:t xml:space="preserve">; </w:t>
      </w:r>
      <w:r>
        <w:t>a higher proportion of non-permanent residents on the IOS etc. Due to the small sample size, some care does need to be taken with the interpretation of the data.</w:t>
      </w:r>
    </w:p>
    <w:p w:rsidR="00460194" w:rsidRDefault="00460194" w:rsidP="00DF4D66">
      <w:pPr>
        <w:pStyle w:val="Legal3"/>
        <w:spacing w:before="120" w:after="120"/>
        <w:ind w:left="709" w:hanging="709"/>
      </w:pPr>
      <w:r>
        <w:t>Key findings of the survey include:</w:t>
      </w:r>
    </w:p>
    <w:p w:rsidR="00460194" w:rsidRDefault="00460194" w:rsidP="00460194">
      <w:pPr>
        <w:pStyle w:val="Legal3"/>
        <w:numPr>
          <w:ilvl w:val="0"/>
          <w:numId w:val="5"/>
        </w:numPr>
        <w:spacing w:before="120" w:after="120"/>
        <w:ind w:left="1134" w:hanging="425"/>
      </w:pPr>
      <w:r>
        <w:t xml:space="preserve">59% of </w:t>
      </w:r>
      <w:r w:rsidR="009A2391">
        <w:t>respondent</w:t>
      </w:r>
      <w:r>
        <w:t>s are satisfied with their current accommodation (at 64% satisfaction was highest on St Mary’s)</w:t>
      </w:r>
    </w:p>
    <w:p w:rsidR="00460194" w:rsidRDefault="00460194" w:rsidP="00460194">
      <w:pPr>
        <w:pStyle w:val="Legal3"/>
        <w:numPr>
          <w:ilvl w:val="0"/>
          <w:numId w:val="5"/>
        </w:numPr>
        <w:spacing w:before="120" w:after="120"/>
        <w:ind w:left="1134" w:hanging="425"/>
      </w:pPr>
      <w:r>
        <w:t xml:space="preserve">63% of council housing </w:t>
      </w:r>
      <w:r w:rsidR="009A2391">
        <w:t>respondent</w:t>
      </w:r>
      <w:r>
        <w:t xml:space="preserve">s and 43% of housing association </w:t>
      </w:r>
      <w:r w:rsidR="009A2391">
        <w:t>respondent</w:t>
      </w:r>
      <w:r>
        <w:t>s are satisfied with their accommodation</w:t>
      </w:r>
    </w:p>
    <w:p w:rsidR="00460194" w:rsidRDefault="009B3E13" w:rsidP="00460194">
      <w:pPr>
        <w:pStyle w:val="Legal3"/>
        <w:numPr>
          <w:ilvl w:val="0"/>
          <w:numId w:val="5"/>
        </w:numPr>
        <w:spacing w:before="120" w:after="120"/>
        <w:ind w:left="1134" w:hanging="425"/>
      </w:pPr>
      <w:r>
        <w:t xml:space="preserve">35% of </w:t>
      </w:r>
      <w:r w:rsidR="009A2391">
        <w:t>respondent</w:t>
      </w:r>
      <w:r>
        <w:t xml:space="preserve">s stated that the need for more bedrooms was driving their dissatisfaction, followed by 26% of </w:t>
      </w:r>
      <w:r w:rsidR="009A2391">
        <w:t>respondent</w:t>
      </w:r>
      <w:r>
        <w:t>s who cited heating as being the main reason</w:t>
      </w:r>
    </w:p>
    <w:p w:rsidR="009B3E13" w:rsidRDefault="009B3E13" w:rsidP="00460194">
      <w:pPr>
        <w:pStyle w:val="Legal3"/>
        <w:numPr>
          <w:ilvl w:val="0"/>
          <w:numId w:val="5"/>
        </w:numPr>
        <w:spacing w:before="120" w:after="120"/>
        <w:ind w:left="1134" w:hanging="425"/>
      </w:pPr>
      <w:r>
        <w:t xml:space="preserve">53% of </w:t>
      </w:r>
      <w:r w:rsidR="009A2391">
        <w:t>respondent</w:t>
      </w:r>
      <w:r>
        <w:t>s stated that they are currently looking for new accommodation, with 73% of those looking to move in the near future and 23% within the next three years</w:t>
      </w:r>
    </w:p>
    <w:p w:rsidR="009B3E13" w:rsidRDefault="009B3E13" w:rsidP="00460194">
      <w:pPr>
        <w:pStyle w:val="Legal3"/>
        <w:numPr>
          <w:ilvl w:val="0"/>
          <w:numId w:val="5"/>
        </w:numPr>
        <w:spacing w:before="120" w:after="120"/>
        <w:ind w:left="1134" w:hanging="425"/>
      </w:pPr>
      <w:r>
        <w:t xml:space="preserve">For those looking for new accommodation, 22% stated that they were keen to move into a property rented from the Council, a further </w:t>
      </w:r>
      <w:r w:rsidR="00936BA3">
        <w:t>22%</w:t>
      </w:r>
      <w:r w:rsidR="00CE54F8">
        <w:t xml:space="preserve"> </w:t>
      </w:r>
      <w:r>
        <w:t>were looking to move into Duchy rented accommodation and 19% into a housing association property</w:t>
      </w:r>
    </w:p>
    <w:p w:rsidR="009B3E13" w:rsidRDefault="009B3E13" w:rsidP="00460194">
      <w:pPr>
        <w:pStyle w:val="Legal3"/>
        <w:numPr>
          <w:ilvl w:val="0"/>
          <w:numId w:val="5"/>
        </w:numPr>
        <w:spacing w:before="120" w:after="120"/>
        <w:ind w:left="1134" w:hanging="425"/>
      </w:pPr>
      <w:r>
        <w:t xml:space="preserve">57% of </w:t>
      </w:r>
      <w:r w:rsidR="009A2391">
        <w:t>respondent</w:t>
      </w:r>
      <w:r>
        <w:t>s looking for a new property would like to move into a 2 bedroom property</w:t>
      </w:r>
    </w:p>
    <w:p w:rsidR="009B3E13" w:rsidRDefault="009B3E13" w:rsidP="00460194">
      <w:pPr>
        <w:pStyle w:val="Legal3"/>
        <w:numPr>
          <w:ilvl w:val="0"/>
          <w:numId w:val="5"/>
        </w:numPr>
        <w:spacing w:before="120" w:after="120"/>
        <w:ind w:left="1134" w:hanging="425"/>
      </w:pPr>
      <w:r>
        <w:t xml:space="preserve">Over 90% of </w:t>
      </w:r>
      <w:r w:rsidR="009A2391">
        <w:t>respondent</w:t>
      </w:r>
      <w:r>
        <w:t>s supported new housing either on their own or another island within IOS and 73% supported the need for new rented accommodation.</w:t>
      </w:r>
    </w:p>
    <w:p w:rsidR="00C52C9A" w:rsidRDefault="00C52C9A" w:rsidP="00C52C9A">
      <w:pPr>
        <w:pStyle w:val="Legal3"/>
        <w:spacing w:before="120" w:after="120"/>
        <w:ind w:left="709" w:hanging="709"/>
      </w:pPr>
      <w:r>
        <w:t xml:space="preserve">Although the response rate was lower than previous surveys that have been completed, these key findings alongside other areas detailed in this report provide a valuable source of data that can be used to help support the </w:t>
      </w:r>
      <w:r w:rsidRPr="00C52C9A">
        <w:t>development of housing strategies to support the needs of residents on the islands.</w:t>
      </w:r>
    </w:p>
    <w:p w:rsidR="00C94F16" w:rsidRDefault="00C94F16" w:rsidP="00C94F16">
      <w:pPr>
        <w:pStyle w:val="Legal2"/>
        <w:spacing w:before="120" w:after="60"/>
        <w:rPr>
          <w:color w:val="403152"/>
          <w:sz w:val="24"/>
          <w:szCs w:val="24"/>
        </w:rPr>
      </w:pPr>
      <w:r>
        <w:rPr>
          <w:color w:val="403152"/>
          <w:sz w:val="24"/>
          <w:szCs w:val="24"/>
        </w:rPr>
        <w:br w:type="page"/>
      </w:r>
    </w:p>
    <w:p w:rsidR="00DF4D66" w:rsidRPr="00D70A05" w:rsidRDefault="0087683A" w:rsidP="000073B1">
      <w:pPr>
        <w:pStyle w:val="Legal1"/>
        <w:numPr>
          <w:ilvl w:val="0"/>
          <w:numId w:val="3"/>
        </w:numPr>
        <w:spacing w:before="120" w:after="60"/>
        <w:rPr>
          <w:color w:val="403152"/>
          <w:sz w:val="24"/>
          <w:szCs w:val="24"/>
        </w:rPr>
      </w:pPr>
      <w:bookmarkStart w:id="1" w:name="_Toc343686374"/>
      <w:r>
        <w:rPr>
          <w:color w:val="403152"/>
          <w:sz w:val="24"/>
          <w:szCs w:val="24"/>
        </w:rPr>
        <w:lastRenderedPageBreak/>
        <w:t>Introduction</w:t>
      </w:r>
      <w:bookmarkEnd w:id="1"/>
    </w:p>
    <w:p w:rsidR="00B2212C" w:rsidRPr="00B2212C" w:rsidRDefault="00D573CA" w:rsidP="00DF4D66">
      <w:pPr>
        <w:pStyle w:val="Legal3"/>
        <w:spacing w:before="120" w:after="120"/>
        <w:ind w:left="709" w:hanging="709"/>
      </w:pPr>
      <w:r>
        <w:rPr>
          <w:color w:val="000000"/>
        </w:rPr>
        <w:t>The on</w:t>
      </w:r>
      <w:r w:rsidR="00EF6F14">
        <w:rPr>
          <w:color w:val="000000"/>
        </w:rPr>
        <w:t>-</w:t>
      </w:r>
      <w:r>
        <w:rPr>
          <w:color w:val="000000"/>
        </w:rPr>
        <w:t>going tough economic climate continu</w:t>
      </w:r>
      <w:r w:rsidR="00B2212C">
        <w:rPr>
          <w:color w:val="000000"/>
        </w:rPr>
        <w:t xml:space="preserve">es to add pressure to the affordability of housing across the UK. </w:t>
      </w:r>
      <w:r w:rsidR="005305C3">
        <w:rPr>
          <w:color w:val="000000"/>
        </w:rPr>
        <w:t xml:space="preserve">This is being driven </w:t>
      </w:r>
      <w:r w:rsidR="000347D5">
        <w:rPr>
          <w:color w:val="000000"/>
        </w:rPr>
        <w:t>by</w:t>
      </w:r>
      <w:r w:rsidR="005305C3">
        <w:rPr>
          <w:color w:val="000000"/>
        </w:rPr>
        <w:t xml:space="preserve"> </w:t>
      </w:r>
      <w:r w:rsidR="000347D5">
        <w:rPr>
          <w:color w:val="000000"/>
        </w:rPr>
        <w:t>a</w:t>
      </w:r>
      <w:r w:rsidR="005305C3">
        <w:rPr>
          <w:color w:val="000000"/>
        </w:rPr>
        <w:t xml:space="preserve"> combination of factors such as inflation, high levels of unemployment, decreases in the real value of earnings, higher energy and fuel prices and increasing cost of food and other essentials. </w:t>
      </w:r>
    </w:p>
    <w:p w:rsidR="00CC25AC" w:rsidRPr="00CC25AC" w:rsidRDefault="00CC25AC" w:rsidP="00DF4D66">
      <w:pPr>
        <w:pStyle w:val="Legal3"/>
        <w:spacing w:before="120" w:after="120"/>
        <w:ind w:left="709" w:hanging="709"/>
      </w:pPr>
      <w:r>
        <w:t xml:space="preserve">Specifically the Isles of Scilly (IOS) has </w:t>
      </w:r>
      <w:r w:rsidR="000347D5">
        <w:t xml:space="preserve">its own </w:t>
      </w:r>
      <w:r>
        <w:t xml:space="preserve">unique housing situation. </w:t>
      </w:r>
      <w:r w:rsidR="000347D5">
        <w:t xml:space="preserve">It </w:t>
      </w:r>
      <w:r>
        <w:t xml:space="preserve">is strongly influenced by </w:t>
      </w:r>
      <w:r w:rsidR="006F7268">
        <w:t xml:space="preserve">a </w:t>
      </w:r>
      <w:r w:rsidR="000347D5">
        <w:t xml:space="preserve">number </w:t>
      </w:r>
      <w:r w:rsidR="006F7268">
        <w:t xml:space="preserve">of </w:t>
      </w:r>
      <w:r w:rsidR="000347D5">
        <w:t xml:space="preserve">local </w:t>
      </w:r>
      <w:r>
        <w:t xml:space="preserve">factors </w:t>
      </w:r>
      <w:r w:rsidR="000347D5">
        <w:t xml:space="preserve">that </w:t>
      </w:r>
      <w:r w:rsidR="006F7268">
        <w:t xml:space="preserve">do not apply elsewhere in the UK. </w:t>
      </w:r>
      <w:r w:rsidR="001E25A6">
        <w:t>T</w:t>
      </w:r>
      <w:r w:rsidR="000347D5">
        <w:t xml:space="preserve">he entire archipelago is designated an Area of Outstanding </w:t>
      </w:r>
      <w:r w:rsidR="00C5462D">
        <w:t>Natural Beauty</w:t>
      </w:r>
      <w:r w:rsidR="00D77A7F">
        <w:t xml:space="preserve"> (AONB) and Conservation Area</w:t>
      </w:r>
      <w:r w:rsidR="001E25A6">
        <w:t xml:space="preserve"> resulting in scarcity of land for housing and restrictive planning controls</w:t>
      </w:r>
      <w:r w:rsidR="00C5462D">
        <w:t>.</w:t>
      </w:r>
      <w:r w:rsidR="00EF6F14">
        <w:t xml:space="preserve"> The presence of the Duchy of Cornwall as a major landowner on the islands has a significant impact on what can be built.</w:t>
      </w:r>
      <w:r w:rsidR="006F7268">
        <w:t xml:space="preserve"> </w:t>
      </w:r>
      <w:r w:rsidR="00EB34D9">
        <w:t xml:space="preserve">The lack of a competitive </w:t>
      </w:r>
      <w:r w:rsidR="00C5462D">
        <w:t xml:space="preserve">rental market in the </w:t>
      </w:r>
      <w:r w:rsidR="00EB34D9">
        <w:t>private sector</w:t>
      </w:r>
      <w:r w:rsidR="008D0FE6">
        <w:t xml:space="preserve"> </w:t>
      </w:r>
      <w:r w:rsidR="006F7268">
        <w:t>and</w:t>
      </w:r>
      <w:r w:rsidR="00EB34D9">
        <w:t xml:space="preserve"> </w:t>
      </w:r>
      <w:r w:rsidR="008D0FE6">
        <w:t xml:space="preserve">the tendering process </w:t>
      </w:r>
      <w:r w:rsidR="00C5462D">
        <w:t>associated with</w:t>
      </w:r>
      <w:r w:rsidR="008D0FE6">
        <w:t xml:space="preserve"> some Duchy properties </w:t>
      </w:r>
      <w:r w:rsidR="00C5462D">
        <w:t xml:space="preserve">is very different from </w:t>
      </w:r>
      <w:r w:rsidR="006F7268">
        <w:t>the mainland</w:t>
      </w:r>
      <w:r w:rsidR="001E25A6">
        <w:t xml:space="preserve">. </w:t>
      </w:r>
      <w:r w:rsidR="00C5462D">
        <w:t>A</w:t>
      </w:r>
      <w:r>
        <w:t xml:space="preserve">s can be seen </w:t>
      </w:r>
      <w:r w:rsidR="006F7268">
        <w:t xml:space="preserve">from the findings </w:t>
      </w:r>
      <w:r w:rsidR="00C5462D">
        <w:t>in</w:t>
      </w:r>
      <w:r w:rsidR="006F7268">
        <w:t xml:space="preserve"> this report</w:t>
      </w:r>
      <w:r>
        <w:t xml:space="preserve">, although housing on the IOS is expensive compared to regional and national prices, </w:t>
      </w:r>
      <w:r w:rsidR="00C5462D">
        <w:t xml:space="preserve">average </w:t>
      </w:r>
      <w:r>
        <w:t xml:space="preserve">income levels </w:t>
      </w:r>
      <w:r w:rsidR="00C5462D">
        <w:t>among residents are low</w:t>
      </w:r>
      <w:r>
        <w:t xml:space="preserve">. Together these </w:t>
      </w:r>
      <w:r w:rsidR="006F7268">
        <w:t xml:space="preserve">factors </w:t>
      </w:r>
      <w:r>
        <w:t xml:space="preserve">present problems for </w:t>
      </w:r>
      <w:r w:rsidR="00C5462D">
        <w:t xml:space="preserve">IOS </w:t>
      </w:r>
      <w:r>
        <w:t>residents</w:t>
      </w:r>
      <w:r w:rsidR="00C5462D">
        <w:t xml:space="preserve"> </w:t>
      </w:r>
      <w:r>
        <w:t>when trying to access the housing they need.</w:t>
      </w:r>
    </w:p>
    <w:p w:rsidR="005305C3" w:rsidRPr="005305C3" w:rsidRDefault="00B2212C" w:rsidP="00DF4D66">
      <w:pPr>
        <w:pStyle w:val="Legal3"/>
        <w:spacing w:before="120" w:after="120"/>
        <w:ind w:left="709" w:hanging="709"/>
      </w:pPr>
      <w:r>
        <w:rPr>
          <w:color w:val="000000"/>
        </w:rPr>
        <w:t>This report presents the findings of the Housing</w:t>
      </w:r>
      <w:r w:rsidR="005305C3">
        <w:rPr>
          <w:color w:val="000000"/>
        </w:rPr>
        <w:t xml:space="preserve"> Needs Survey 2012 (HNS2012) for the Council of the Isles of Scilly (CIOS)</w:t>
      </w:r>
      <w:r w:rsidR="006F7268">
        <w:rPr>
          <w:color w:val="000000"/>
        </w:rPr>
        <w:t xml:space="preserve"> along with an analysis of data from the 2011 Census </w:t>
      </w:r>
      <w:r w:rsidR="00B2311E">
        <w:rPr>
          <w:color w:val="000000"/>
        </w:rPr>
        <w:t>a</w:t>
      </w:r>
      <w:r w:rsidR="006F7268">
        <w:rPr>
          <w:color w:val="000000"/>
        </w:rPr>
        <w:t>nd other publicly available sources</w:t>
      </w:r>
      <w:r w:rsidR="005305C3">
        <w:rPr>
          <w:color w:val="000000"/>
        </w:rPr>
        <w:t xml:space="preserve">. The aim of the survey </w:t>
      </w:r>
      <w:r w:rsidR="00B2311E">
        <w:rPr>
          <w:color w:val="000000"/>
        </w:rPr>
        <w:t xml:space="preserve">was </w:t>
      </w:r>
      <w:r w:rsidR="005305C3">
        <w:rPr>
          <w:color w:val="000000"/>
        </w:rPr>
        <w:t>to provide an up</w:t>
      </w:r>
      <w:r w:rsidR="006F7268">
        <w:rPr>
          <w:color w:val="000000"/>
        </w:rPr>
        <w:t>-</w:t>
      </w:r>
      <w:r w:rsidR="005305C3">
        <w:rPr>
          <w:color w:val="000000"/>
        </w:rPr>
        <w:t>to</w:t>
      </w:r>
      <w:r w:rsidR="006F7268">
        <w:rPr>
          <w:color w:val="000000"/>
        </w:rPr>
        <w:t>-</w:t>
      </w:r>
      <w:r w:rsidR="005305C3">
        <w:rPr>
          <w:color w:val="000000"/>
        </w:rPr>
        <w:t>date assessment of housing need for residents on the IOS. It follows on from a similar exercise completed in 2005.</w:t>
      </w:r>
    </w:p>
    <w:p w:rsidR="005305C3" w:rsidRPr="005305C3" w:rsidRDefault="005305C3" w:rsidP="00DF4D66">
      <w:pPr>
        <w:pStyle w:val="Legal3"/>
        <w:spacing w:before="120" w:after="120"/>
        <w:ind w:left="709" w:hanging="709"/>
      </w:pPr>
      <w:r>
        <w:rPr>
          <w:color w:val="000000"/>
        </w:rPr>
        <w:t xml:space="preserve">The survey was conducted during the summer and early autumn of 2012 and focused on collecting </w:t>
      </w:r>
      <w:r w:rsidR="000C6A01">
        <w:rPr>
          <w:color w:val="000000"/>
        </w:rPr>
        <w:t>information</w:t>
      </w:r>
      <w:r>
        <w:rPr>
          <w:color w:val="000000"/>
        </w:rPr>
        <w:t xml:space="preserve"> from residents</w:t>
      </w:r>
      <w:r w:rsidR="00B2311E">
        <w:rPr>
          <w:color w:val="000000"/>
        </w:rPr>
        <w:t>, including</w:t>
      </w:r>
      <w:r>
        <w:rPr>
          <w:color w:val="000000"/>
        </w:rPr>
        <w:t xml:space="preserve"> </w:t>
      </w:r>
      <w:r w:rsidR="00B2311E">
        <w:rPr>
          <w:color w:val="000000"/>
        </w:rPr>
        <w:t>the following</w:t>
      </w:r>
      <w:r w:rsidR="00D63ABD">
        <w:rPr>
          <w:color w:val="000000"/>
        </w:rPr>
        <w:t xml:space="preserve"> </w:t>
      </w:r>
      <w:r w:rsidR="000C6A01">
        <w:rPr>
          <w:color w:val="000000"/>
        </w:rPr>
        <w:t>on</w:t>
      </w:r>
      <w:r>
        <w:rPr>
          <w:color w:val="000000"/>
        </w:rPr>
        <w:t>:</w:t>
      </w:r>
    </w:p>
    <w:p w:rsidR="005305C3" w:rsidRDefault="005305C3" w:rsidP="005305C3">
      <w:pPr>
        <w:pStyle w:val="Legal3"/>
        <w:numPr>
          <w:ilvl w:val="0"/>
          <w:numId w:val="5"/>
        </w:numPr>
        <w:spacing w:before="120" w:after="120"/>
        <w:ind w:left="1134" w:hanging="425"/>
      </w:pPr>
      <w:r>
        <w:t xml:space="preserve">Levels of different tenure types on </w:t>
      </w:r>
      <w:r w:rsidR="00B2311E">
        <w:t xml:space="preserve">the </w:t>
      </w:r>
      <w:r>
        <w:t>IOS</w:t>
      </w:r>
    </w:p>
    <w:p w:rsidR="005305C3" w:rsidRDefault="005305C3" w:rsidP="005305C3">
      <w:pPr>
        <w:pStyle w:val="Legal3"/>
        <w:numPr>
          <w:ilvl w:val="0"/>
          <w:numId w:val="5"/>
        </w:numPr>
        <w:spacing w:before="120" w:after="120"/>
        <w:ind w:left="1134" w:hanging="425"/>
      </w:pPr>
      <w:r>
        <w:t>Satisfaction levels with current accommodation</w:t>
      </w:r>
    </w:p>
    <w:p w:rsidR="005305C3" w:rsidRDefault="000C6A01" w:rsidP="005305C3">
      <w:pPr>
        <w:pStyle w:val="Legal3"/>
        <w:numPr>
          <w:ilvl w:val="0"/>
          <w:numId w:val="5"/>
        </w:numPr>
        <w:spacing w:before="120" w:after="120"/>
        <w:ind w:left="1134" w:hanging="425"/>
      </w:pPr>
      <w:r>
        <w:t>N</w:t>
      </w:r>
      <w:r w:rsidR="005305C3">
        <w:t xml:space="preserve">eed for different types of housing on </w:t>
      </w:r>
      <w:r w:rsidR="00B2311E">
        <w:t xml:space="preserve">the </w:t>
      </w:r>
      <w:r w:rsidR="005305C3">
        <w:t>IOS</w:t>
      </w:r>
    </w:p>
    <w:p w:rsidR="005305C3" w:rsidRDefault="000C6A01" w:rsidP="005305C3">
      <w:pPr>
        <w:pStyle w:val="Legal3"/>
        <w:numPr>
          <w:ilvl w:val="0"/>
          <w:numId w:val="5"/>
        </w:numPr>
        <w:spacing w:before="120" w:after="120"/>
        <w:ind w:left="1134" w:hanging="425"/>
      </w:pPr>
      <w:r>
        <w:t>Ho</w:t>
      </w:r>
      <w:r w:rsidR="00B2311E">
        <w:t xml:space="preserve">using </w:t>
      </w:r>
      <w:r w:rsidR="005305C3">
        <w:t>affordability (rents and buying)</w:t>
      </w:r>
    </w:p>
    <w:p w:rsidR="005305C3" w:rsidRPr="005305C3" w:rsidRDefault="005305C3" w:rsidP="005305C3">
      <w:pPr>
        <w:pStyle w:val="Legal3"/>
        <w:numPr>
          <w:ilvl w:val="0"/>
          <w:numId w:val="5"/>
        </w:numPr>
        <w:spacing w:before="120" w:after="120"/>
        <w:ind w:left="1134" w:hanging="425"/>
      </w:pPr>
      <w:r>
        <w:t xml:space="preserve">Support for new housing on </w:t>
      </w:r>
      <w:r w:rsidR="00B2311E">
        <w:t xml:space="preserve">the </w:t>
      </w:r>
      <w:r>
        <w:t>IOS</w:t>
      </w:r>
      <w:r w:rsidR="00341F3A">
        <w:t>.</w:t>
      </w:r>
    </w:p>
    <w:p w:rsidR="00DF4D66" w:rsidRDefault="005305C3" w:rsidP="00DF4D66">
      <w:pPr>
        <w:pStyle w:val="Legal3"/>
        <w:spacing w:before="120" w:after="120"/>
        <w:ind w:left="709" w:hanging="709"/>
      </w:pPr>
      <w:r>
        <w:rPr>
          <w:color w:val="000000"/>
        </w:rPr>
        <w:t xml:space="preserve">The information collected in the HNS2012, used </w:t>
      </w:r>
      <w:r w:rsidR="00106C2E">
        <w:rPr>
          <w:color w:val="000000"/>
        </w:rPr>
        <w:t xml:space="preserve">with </w:t>
      </w:r>
      <w:r>
        <w:rPr>
          <w:color w:val="000000"/>
        </w:rPr>
        <w:t xml:space="preserve">additional data from other sources, can be used by CIOS to inform future housing strategies, policies and plans. In particular the information collected from this exercise can be used to </w:t>
      </w:r>
      <w:r w:rsidR="00106C2E">
        <w:rPr>
          <w:color w:val="000000"/>
        </w:rPr>
        <w:t>assess</w:t>
      </w:r>
      <w:r>
        <w:rPr>
          <w:color w:val="000000"/>
        </w:rPr>
        <w:t xml:space="preserve"> the types of housing that should be built on the islands in the future.</w:t>
      </w:r>
    </w:p>
    <w:p w:rsidR="0087683A" w:rsidRPr="00D70A05" w:rsidRDefault="00DF4D66" w:rsidP="000073B1">
      <w:pPr>
        <w:pStyle w:val="Legal1"/>
        <w:numPr>
          <w:ilvl w:val="0"/>
          <w:numId w:val="3"/>
        </w:numPr>
        <w:spacing w:before="120" w:after="60"/>
        <w:rPr>
          <w:color w:val="403152"/>
          <w:sz w:val="24"/>
          <w:szCs w:val="24"/>
        </w:rPr>
      </w:pPr>
      <w:r>
        <w:rPr>
          <w:rFonts w:ascii="Arial" w:hAnsi="Arial" w:cs="Arial"/>
          <w:color w:val="403152"/>
          <w:kern w:val="28"/>
        </w:rPr>
        <w:br w:type="page"/>
      </w:r>
      <w:bookmarkStart w:id="2" w:name="_Toc343686375"/>
      <w:r w:rsidR="0087683A">
        <w:rPr>
          <w:color w:val="403152"/>
          <w:sz w:val="24"/>
          <w:szCs w:val="24"/>
        </w:rPr>
        <w:lastRenderedPageBreak/>
        <w:t>Context for housing in Isles of Scilly</w:t>
      </w:r>
      <w:bookmarkEnd w:id="2"/>
      <w:r w:rsidR="0087683A">
        <w:rPr>
          <w:color w:val="403152"/>
          <w:sz w:val="24"/>
          <w:szCs w:val="24"/>
        </w:rPr>
        <w:t xml:space="preserve"> </w:t>
      </w:r>
    </w:p>
    <w:p w:rsidR="00AB3874" w:rsidRPr="00AB3874" w:rsidRDefault="00AB3874" w:rsidP="0087683A">
      <w:pPr>
        <w:pStyle w:val="Legal3"/>
        <w:spacing w:before="120" w:after="120"/>
        <w:ind w:left="709" w:hanging="709"/>
      </w:pPr>
      <w:r>
        <w:t xml:space="preserve">Before considering the findings of the HNS2012, it is worth taking time to assess the background context for housing on </w:t>
      </w:r>
      <w:r w:rsidR="005C02D4">
        <w:t xml:space="preserve">the </w:t>
      </w:r>
      <w:r>
        <w:t>IOS in 2012.</w:t>
      </w:r>
      <w:r w:rsidR="00106C2E">
        <w:t xml:space="preserve"> </w:t>
      </w:r>
      <w:r w:rsidR="00106C2E">
        <w:rPr>
          <w:color w:val="000000"/>
        </w:rPr>
        <w:t>To help with this we have been able to access data from a wide range of additional sources</w:t>
      </w:r>
      <w:r w:rsidR="000C6A01">
        <w:rPr>
          <w:color w:val="000000"/>
        </w:rPr>
        <w:t>, including</w:t>
      </w:r>
      <w:r w:rsidR="00106C2E">
        <w:rPr>
          <w:color w:val="000000"/>
        </w:rPr>
        <w:t xml:space="preserve"> the 2011 Census.</w:t>
      </w:r>
    </w:p>
    <w:p w:rsidR="00E35C82" w:rsidRPr="00DF4D66" w:rsidRDefault="00E35C82" w:rsidP="00E35C82">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2011 Census data and population</w:t>
      </w:r>
    </w:p>
    <w:p w:rsidR="0087683A" w:rsidRPr="00AB3874" w:rsidRDefault="00106C2E" w:rsidP="0087683A">
      <w:pPr>
        <w:pStyle w:val="Legal3"/>
        <w:spacing w:before="120" w:after="120"/>
        <w:ind w:left="709" w:hanging="709"/>
      </w:pPr>
      <w:r>
        <w:rPr>
          <w:color w:val="000000"/>
        </w:rPr>
        <w:t>There will be more information available from the 2011 Census in future</w:t>
      </w:r>
      <w:r w:rsidR="000C6A01">
        <w:rPr>
          <w:color w:val="000000"/>
        </w:rPr>
        <w:t xml:space="preserve"> but t</w:t>
      </w:r>
      <w:r>
        <w:rPr>
          <w:color w:val="000000"/>
        </w:rPr>
        <w:t xml:space="preserve">o date  outputs show </w:t>
      </w:r>
      <w:r w:rsidR="00AB3874">
        <w:rPr>
          <w:color w:val="000000"/>
        </w:rPr>
        <w:t xml:space="preserve">the </w:t>
      </w:r>
      <w:r>
        <w:rPr>
          <w:color w:val="000000"/>
        </w:rPr>
        <w:t xml:space="preserve">following </w:t>
      </w:r>
      <w:r w:rsidR="00AB3874">
        <w:rPr>
          <w:color w:val="000000"/>
        </w:rPr>
        <w:t>main findings</w:t>
      </w:r>
      <w:r>
        <w:rPr>
          <w:color w:val="000000"/>
        </w:rPr>
        <w:t>:</w:t>
      </w:r>
    </w:p>
    <w:p w:rsidR="00AB3874" w:rsidRDefault="00AB3874" w:rsidP="00AB3874">
      <w:pPr>
        <w:pStyle w:val="Legal3"/>
        <w:numPr>
          <w:ilvl w:val="0"/>
          <w:numId w:val="5"/>
        </w:numPr>
        <w:spacing w:before="120" w:after="120"/>
        <w:ind w:left="1134" w:hanging="425"/>
      </w:pPr>
      <w:r w:rsidRPr="00AB3874">
        <w:t>The Isles of Scilly has a population of 2</w:t>
      </w:r>
      <w:r>
        <w:t>,203</w:t>
      </w:r>
    </w:p>
    <w:p w:rsidR="00A93182" w:rsidRDefault="00A93182" w:rsidP="00AB3874">
      <w:pPr>
        <w:pStyle w:val="Legal3"/>
        <w:numPr>
          <w:ilvl w:val="0"/>
          <w:numId w:val="5"/>
        </w:numPr>
        <w:spacing w:before="120" w:after="120"/>
        <w:ind w:left="1134" w:hanging="425"/>
      </w:pPr>
      <w:r>
        <w:t xml:space="preserve">This compares </w:t>
      </w:r>
      <w:r w:rsidR="000C6A01">
        <w:t>with</w:t>
      </w:r>
      <w:r>
        <w:t xml:space="preserve"> a population of 2,153 in the 2001 Census</w:t>
      </w:r>
      <w:r>
        <w:rPr>
          <w:rStyle w:val="FootnoteReference"/>
        </w:rPr>
        <w:footnoteReference w:id="1"/>
      </w:r>
    </w:p>
    <w:p w:rsidR="000C6A01" w:rsidRDefault="00AB3874" w:rsidP="00AB3874">
      <w:pPr>
        <w:pStyle w:val="Legal3"/>
        <w:numPr>
          <w:ilvl w:val="0"/>
          <w:numId w:val="5"/>
        </w:numPr>
        <w:spacing w:before="120" w:after="120"/>
        <w:ind w:left="1134" w:hanging="425"/>
      </w:pPr>
      <w:r>
        <w:t xml:space="preserve">This </w:t>
      </w:r>
      <w:r w:rsidR="005C02D4">
        <w:t xml:space="preserve">is </w:t>
      </w:r>
      <w:r>
        <w:t xml:space="preserve">an increase of </w:t>
      </w:r>
      <w:r w:rsidRPr="00107011">
        <w:t>2.2</w:t>
      </w:r>
      <w:r>
        <w:t xml:space="preserve">% from </w:t>
      </w:r>
      <w:r w:rsidR="000C6A01">
        <w:t>2001</w:t>
      </w:r>
    </w:p>
    <w:p w:rsidR="00AB3874" w:rsidRDefault="00AB3874" w:rsidP="00AB3874">
      <w:pPr>
        <w:pStyle w:val="Legal3"/>
        <w:numPr>
          <w:ilvl w:val="0"/>
          <w:numId w:val="5"/>
        </w:numPr>
        <w:spacing w:before="120" w:after="120"/>
        <w:ind w:left="1134" w:hanging="425"/>
      </w:pPr>
      <w:r>
        <w:t>There are 989 households on the IOS – up 1.1% from the 2001 Census</w:t>
      </w:r>
    </w:p>
    <w:p w:rsidR="00AB3874" w:rsidRDefault="00AB3874" w:rsidP="00AB3874">
      <w:pPr>
        <w:pStyle w:val="Legal3"/>
        <w:numPr>
          <w:ilvl w:val="0"/>
          <w:numId w:val="5"/>
        </w:numPr>
        <w:spacing w:before="120" w:after="120"/>
        <w:ind w:left="1134" w:hanging="425"/>
      </w:pPr>
      <w:r>
        <w:t>3.6% of people on the IOS live in communal establishments (i.e. residential / care homes</w:t>
      </w:r>
      <w:r w:rsidR="00723FD1">
        <w:t xml:space="preserve"> / staying in hotels etc.</w:t>
      </w:r>
      <w:r>
        <w:t>)</w:t>
      </w:r>
      <w:r w:rsidR="000C6A01">
        <w:t xml:space="preserve"> </w:t>
      </w:r>
    </w:p>
    <w:p w:rsidR="00AB3874" w:rsidRPr="00AB3874" w:rsidRDefault="000C6A01" w:rsidP="00AB3874">
      <w:pPr>
        <w:pStyle w:val="Legal3"/>
        <w:numPr>
          <w:ilvl w:val="0"/>
          <w:numId w:val="5"/>
        </w:numPr>
        <w:spacing w:before="120" w:after="120"/>
        <w:ind w:left="1134" w:hanging="425"/>
      </w:pPr>
      <w:r>
        <w:t xml:space="preserve">Just </w:t>
      </w:r>
      <w:r w:rsidR="00AB3874">
        <w:t>0.45% of the population is defined as ‘short term residents’</w:t>
      </w:r>
      <w:r w:rsidR="00341F3A">
        <w:t>.</w:t>
      </w:r>
    </w:p>
    <w:p w:rsidR="004646DE" w:rsidRDefault="000C6A01" w:rsidP="0087683A">
      <w:pPr>
        <w:pStyle w:val="Legal3"/>
        <w:spacing w:before="120" w:after="120"/>
        <w:ind w:left="709" w:hanging="709"/>
      </w:pPr>
      <w:r>
        <w:t>During 2011/12</w:t>
      </w:r>
      <w:r w:rsidR="00090031">
        <w:t xml:space="preserve">, according to the Council’s </w:t>
      </w:r>
      <w:r w:rsidR="006B0D7B">
        <w:t xml:space="preserve">Local Development Framework </w:t>
      </w:r>
      <w:r w:rsidR="00090031">
        <w:t>Annual Monitoring Report</w:t>
      </w:r>
      <w:r>
        <w:t xml:space="preserve"> </w:t>
      </w:r>
      <w:r w:rsidR="00090031">
        <w:t>6</w:t>
      </w:r>
      <w:r w:rsidR="00D77A7F">
        <w:rPr>
          <w:rStyle w:val="FootnoteReference"/>
        </w:rPr>
        <w:footnoteReference w:id="2"/>
      </w:r>
      <w:r>
        <w:t xml:space="preserve"> further properties were completed on the islands</w:t>
      </w:r>
      <w:r>
        <w:rPr>
          <w:rStyle w:val="FootnoteReference"/>
        </w:rPr>
        <w:footnoteReference w:id="3"/>
      </w:r>
      <w:r>
        <w:t xml:space="preserve">.to add to the 989 households shown in the 2011 Census. </w:t>
      </w:r>
      <w:r w:rsidR="00090031">
        <w:t>Five</w:t>
      </w:r>
      <w:r w:rsidR="004646DE">
        <w:t xml:space="preserve"> of these units were built by housing association</w:t>
      </w:r>
      <w:r w:rsidR="00352C70">
        <w:t>s</w:t>
      </w:r>
      <w:r w:rsidR="00090031">
        <w:t xml:space="preserve"> and one by the Duchy of Cornwall</w:t>
      </w:r>
      <w:r>
        <w:t>. N</w:t>
      </w:r>
      <w:r w:rsidR="004646DE">
        <w:t xml:space="preserve">o </w:t>
      </w:r>
      <w:r>
        <w:t>other</w:t>
      </w:r>
      <w:r w:rsidR="004646DE">
        <w:t xml:space="preserve"> homes were started during the period.</w:t>
      </w:r>
    </w:p>
    <w:p w:rsidR="00AB3874" w:rsidRPr="00AB3874" w:rsidRDefault="00AB3874" w:rsidP="0087683A">
      <w:pPr>
        <w:pStyle w:val="Legal3"/>
        <w:spacing w:before="120" w:after="120"/>
        <w:ind w:left="709" w:hanging="709"/>
      </w:pPr>
      <w:r>
        <w:t>The</w:t>
      </w:r>
      <w:r w:rsidR="004646DE">
        <w:t xml:space="preserve"> </w:t>
      </w:r>
      <w:r>
        <w:t xml:space="preserve">Census also </w:t>
      </w:r>
      <w:r w:rsidR="000C6A01">
        <w:t>has</w:t>
      </w:r>
      <w:r>
        <w:t xml:space="preserve"> some key data on the age profile of residents on the IOS. This shows that around 23.0% of the IOS population is aged 65 and over</w:t>
      </w:r>
      <w:r w:rsidR="000C6A01">
        <w:t>,</w:t>
      </w:r>
      <w:r>
        <w:t xml:space="preserve"> 6.6% higher than the national average.</w:t>
      </w:r>
    </w:p>
    <w:p w:rsidR="002B3889" w:rsidRDefault="00AB3874" w:rsidP="0087683A">
      <w:pPr>
        <w:pStyle w:val="Legal3"/>
        <w:spacing w:before="120" w:after="120"/>
        <w:ind w:left="709" w:hanging="709"/>
        <w:rPr>
          <w:color w:val="000000"/>
        </w:rPr>
      </w:pPr>
      <w:r>
        <w:rPr>
          <w:color w:val="000000"/>
        </w:rPr>
        <w:t xml:space="preserve">A further breakdown of the age profile of residents on IOS can be </w:t>
      </w:r>
      <w:r w:rsidRPr="00D82E3F">
        <w:t xml:space="preserve">found in Figure </w:t>
      </w:r>
      <w:r w:rsidR="00D82E3F" w:rsidRPr="00D82E3F">
        <w:t xml:space="preserve">1 </w:t>
      </w:r>
      <w:r>
        <w:rPr>
          <w:color w:val="000000"/>
        </w:rPr>
        <w:t>below.</w:t>
      </w:r>
      <w:r w:rsidR="00165A35">
        <w:rPr>
          <w:color w:val="000000"/>
        </w:rPr>
        <w:t xml:space="preserve"> This indicates that almost 32% of the population on Scilly is 60 or over.</w:t>
      </w:r>
    </w:p>
    <w:p w:rsidR="002B3889" w:rsidRDefault="002B3889">
      <w:pPr>
        <w:rPr>
          <w:rFonts w:ascii="Arial" w:eastAsia="Times New Roman" w:hAnsi="Arial" w:cs="Times New Roman"/>
          <w:bCs/>
          <w:color w:val="000000"/>
        </w:rPr>
      </w:pPr>
      <w:r>
        <w:rPr>
          <w:color w:val="000000"/>
        </w:rPr>
        <w:br w:type="page"/>
      </w:r>
    </w:p>
    <w:p w:rsidR="00370DF3" w:rsidRPr="00370DF3" w:rsidRDefault="00370DF3" w:rsidP="002B3889">
      <w:pPr>
        <w:pStyle w:val="Legal3"/>
        <w:numPr>
          <w:ilvl w:val="0"/>
          <w:numId w:val="0"/>
        </w:numPr>
        <w:spacing w:before="120" w:after="120"/>
        <w:ind w:left="709"/>
      </w:pPr>
    </w:p>
    <w:p w:rsidR="00AB3874" w:rsidRPr="00817598" w:rsidRDefault="00AB3874" w:rsidP="00AB3874">
      <w:pPr>
        <w:pStyle w:val="Legal3"/>
        <w:numPr>
          <w:ilvl w:val="0"/>
          <w:numId w:val="0"/>
        </w:numPr>
        <w:spacing w:before="120" w:after="120"/>
        <w:rPr>
          <w:b/>
          <w:color w:val="000000" w:themeColor="text1"/>
          <w:sz w:val="18"/>
          <w:szCs w:val="18"/>
        </w:rPr>
      </w:pPr>
      <w:r>
        <w:rPr>
          <w:b/>
          <w:color w:val="000000" w:themeColor="text1"/>
          <w:sz w:val="18"/>
          <w:szCs w:val="18"/>
        </w:rPr>
        <w:t xml:space="preserve">Figure </w:t>
      </w:r>
      <w:r w:rsidR="00D82E3F">
        <w:rPr>
          <w:b/>
          <w:color w:val="000000" w:themeColor="text1"/>
          <w:sz w:val="18"/>
          <w:szCs w:val="18"/>
        </w:rPr>
        <w:t xml:space="preserve">1: </w:t>
      </w:r>
      <w:r>
        <w:rPr>
          <w:b/>
          <w:color w:val="000000" w:themeColor="text1"/>
          <w:sz w:val="18"/>
          <w:szCs w:val="18"/>
        </w:rPr>
        <w:t>Census 2011 – Population distribution of Isles of Scilly</w:t>
      </w:r>
    </w:p>
    <w:p w:rsidR="00AB3874" w:rsidRPr="00AB3874" w:rsidRDefault="00AB3874" w:rsidP="00AB3874">
      <w:pPr>
        <w:pStyle w:val="Legal3"/>
        <w:numPr>
          <w:ilvl w:val="0"/>
          <w:numId w:val="0"/>
        </w:numPr>
        <w:spacing w:before="120" w:after="120"/>
        <w:ind w:left="709"/>
      </w:pPr>
      <w:r>
        <w:rPr>
          <w:noProof/>
          <w:lang w:eastAsia="en-GB"/>
        </w:rPr>
        <w:drawing>
          <wp:inline distT="0" distB="0" distL="0" distR="0">
            <wp:extent cx="4572000" cy="2311400"/>
            <wp:effectExtent l="0" t="0" r="19050" b="127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5D75" w:rsidRDefault="00D55D75" w:rsidP="0087683A">
      <w:pPr>
        <w:pStyle w:val="Legal3"/>
        <w:spacing w:before="120" w:after="120"/>
        <w:ind w:left="709" w:hanging="709"/>
      </w:pPr>
      <w:r>
        <w:t xml:space="preserve">The Census 2011 data </w:t>
      </w:r>
      <w:r w:rsidR="00352C70">
        <w:t xml:space="preserve">also shows </w:t>
      </w:r>
      <w:r>
        <w:t>that the population of the IOS is evenly split 50:50 by males and females.</w:t>
      </w:r>
    </w:p>
    <w:p w:rsidR="00E35C82" w:rsidRPr="00DF4D66" w:rsidRDefault="00E35C82" w:rsidP="00E35C82">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House and rental prices</w:t>
      </w:r>
    </w:p>
    <w:p w:rsidR="00370DF3" w:rsidRPr="00F42C9B" w:rsidRDefault="00F42C9B" w:rsidP="00E35C82">
      <w:pPr>
        <w:pStyle w:val="Legal2"/>
        <w:numPr>
          <w:ilvl w:val="1"/>
          <w:numId w:val="3"/>
        </w:numPr>
        <w:tabs>
          <w:tab w:val="clear" w:pos="2340"/>
          <w:tab w:val="num" w:pos="709"/>
        </w:tabs>
        <w:spacing w:before="120" w:after="120"/>
        <w:ind w:left="709" w:hanging="709"/>
      </w:pPr>
      <w:r>
        <w:rPr>
          <w:color w:val="000000"/>
        </w:rPr>
        <w:t xml:space="preserve">Using data available from </w:t>
      </w:r>
      <w:r w:rsidR="00165A35">
        <w:rPr>
          <w:color w:val="000000"/>
        </w:rPr>
        <w:t xml:space="preserve">the </w:t>
      </w:r>
      <w:r>
        <w:rPr>
          <w:color w:val="000000"/>
        </w:rPr>
        <w:t>Department for Communities and Local Government</w:t>
      </w:r>
      <w:r w:rsidR="00352C70">
        <w:rPr>
          <w:color w:val="000000"/>
        </w:rPr>
        <w:t xml:space="preserve"> (</w:t>
      </w:r>
      <w:r w:rsidR="00352C70" w:rsidRPr="00D82E3F">
        <w:t>DCLG)</w:t>
      </w:r>
      <w:r w:rsidRPr="00D82E3F">
        <w:t xml:space="preserve">, Figure </w:t>
      </w:r>
      <w:r w:rsidR="00D82E3F" w:rsidRPr="00D82E3F">
        <w:t>2</w:t>
      </w:r>
      <w:r w:rsidRPr="00D82E3F">
        <w:t xml:space="preserve"> below plots the </w:t>
      </w:r>
      <w:r>
        <w:rPr>
          <w:color w:val="000000"/>
        </w:rPr>
        <w:t>changes in median house prices on Isles of Scilly over period from 1996 to 2010. This data is based on information provided to DCLG by the Land Registry.</w:t>
      </w:r>
    </w:p>
    <w:p w:rsidR="00F42C9B" w:rsidRPr="00F42C9B" w:rsidRDefault="00F42C9B" w:rsidP="00F42C9B">
      <w:pPr>
        <w:pStyle w:val="Legal3"/>
        <w:numPr>
          <w:ilvl w:val="0"/>
          <w:numId w:val="0"/>
        </w:numPr>
        <w:spacing w:before="120" w:after="120"/>
        <w:rPr>
          <w:b/>
          <w:color w:val="000000" w:themeColor="text1"/>
          <w:sz w:val="18"/>
          <w:szCs w:val="18"/>
        </w:rPr>
      </w:pPr>
      <w:r w:rsidRPr="00F42C9B">
        <w:rPr>
          <w:b/>
          <w:color w:val="000000" w:themeColor="text1"/>
          <w:sz w:val="18"/>
          <w:szCs w:val="18"/>
        </w:rPr>
        <w:t xml:space="preserve">Figure </w:t>
      </w:r>
      <w:r w:rsidR="00D82E3F">
        <w:rPr>
          <w:b/>
          <w:color w:val="000000" w:themeColor="text1"/>
          <w:sz w:val="18"/>
          <w:szCs w:val="18"/>
        </w:rPr>
        <w:t>2</w:t>
      </w:r>
      <w:r w:rsidRPr="00F42C9B">
        <w:rPr>
          <w:b/>
          <w:color w:val="000000" w:themeColor="text1"/>
          <w:sz w:val="18"/>
          <w:szCs w:val="18"/>
        </w:rPr>
        <w:t xml:space="preserve">: </w:t>
      </w:r>
      <w:r w:rsidR="00627DB4">
        <w:rPr>
          <w:b/>
          <w:color w:val="000000" w:themeColor="text1"/>
          <w:sz w:val="18"/>
          <w:szCs w:val="18"/>
        </w:rPr>
        <w:t>Changes in median house prices on Isles of Scilly – 1996 to 2011</w:t>
      </w:r>
      <w:r w:rsidR="00627DB4">
        <w:rPr>
          <w:rStyle w:val="FootnoteReference"/>
          <w:b/>
          <w:color w:val="000000" w:themeColor="text1"/>
          <w:sz w:val="18"/>
          <w:szCs w:val="18"/>
        </w:rPr>
        <w:footnoteReference w:id="4"/>
      </w:r>
    </w:p>
    <w:p w:rsidR="00F42C9B" w:rsidRPr="00370DF3" w:rsidRDefault="00F42C9B" w:rsidP="00F42C9B">
      <w:pPr>
        <w:pStyle w:val="Legal3"/>
        <w:numPr>
          <w:ilvl w:val="0"/>
          <w:numId w:val="0"/>
        </w:numPr>
        <w:spacing w:before="120" w:after="120"/>
        <w:ind w:left="709"/>
      </w:pPr>
      <w:r>
        <w:rPr>
          <w:noProof/>
          <w:lang w:eastAsia="en-GB"/>
        </w:rPr>
        <w:drawing>
          <wp:inline distT="0" distB="0" distL="0" distR="0">
            <wp:extent cx="4572000" cy="21336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2C9B" w:rsidRPr="00D82E3F" w:rsidRDefault="00F42C9B" w:rsidP="0087683A">
      <w:pPr>
        <w:pStyle w:val="Legal3"/>
        <w:spacing w:before="120" w:after="120"/>
        <w:ind w:left="709" w:hanging="709"/>
      </w:pPr>
      <w:r w:rsidRPr="00D82E3F">
        <w:t xml:space="preserve">Figure </w:t>
      </w:r>
      <w:r w:rsidR="00D82E3F" w:rsidRPr="00D82E3F">
        <w:t>2</w:t>
      </w:r>
      <w:r w:rsidRPr="00D82E3F">
        <w:t xml:space="preserve"> shows the rapid increase in </w:t>
      </w:r>
      <w:r w:rsidR="0080146F">
        <w:t>‘</w:t>
      </w:r>
      <w:r w:rsidRPr="00D82E3F">
        <w:t>median</w:t>
      </w:r>
      <w:r w:rsidR="0080146F">
        <w:t>’ (see below)</w:t>
      </w:r>
      <w:r w:rsidRPr="00D82E3F">
        <w:t xml:space="preserve"> house prices over the period. In 1996 the average cost of a home on Isles of Scilly was around £100k</w:t>
      </w:r>
      <w:r w:rsidR="0080146F">
        <w:t xml:space="preserve"> </w:t>
      </w:r>
      <w:proofErr w:type="gramStart"/>
      <w:r w:rsidR="0080146F">
        <w:t>By</w:t>
      </w:r>
      <w:proofErr w:type="gramEnd"/>
      <w:r w:rsidRPr="00D82E3F">
        <w:t xml:space="preserve"> 2010 that had increased to £305k</w:t>
      </w:r>
      <w:r w:rsidR="0080146F">
        <w:t xml:space="preserve"> having appeared to peak in 2006 at £400k.</w:t>
      </w:r>
    </w:p>
    <w:p w:rsidR="00F42C9B" w:rsidRPr="00F42C9B" w:rsidRDefault="008602A2" w:rsidP="0087683A">
      <w:pPr>
        <w:pStyle w:val="Legal3"/>
        <w:spacing w:before="120" w:after="120"/>
        <w:ind w:left="709" w:hanging="709"/>
      </w:pPr>
      <w:r w:rsidRPr="00D82E3F">
        <w:t>T</w:t>
      </w:r>
      <w:r w:rsidR="00F42C9B" w:rsidRPr="00D82E3F">
        <w:t>his information include</w:t>
      </w:r>
      <w:r w:rsidR="0080146F">
        <w:t>s</w:t>
      </w:r>
      <w:r w:rsidR="00F42C9B" w:rsidRPr="00D82E3F">
        <w:t xml:space="preserve"> larger and more expensive properties on </w:t>
      </w:r>
      <w:r w:rsidRPr="00D82E3F">
        <w:t xml:space="preserve">the </w:t>
      </w:r>
      <w:r w:rsidR="00F42C9B" w:rsidRPr="00D82E3F">
        <w:t xml:space="preserve">IOS, </w:t>
      </w:r>
      <w:r w:rsidRPr="00D82E3F">
        <w:t xml:space="preserve">which will influence the </w:t>
      </w:r>
      <w:r w:rsidR="0080146F">
        <w:t>‘</w:t>
      </w:r>
      <w:r w:rsidRPr="00D82E3F">
        <w:t>median</w:t>
      </w:r>
      <w:r w:rsidR="0080146F">
        <w:t>’</w:t>
      </w:r>
      <w:r w:rsidRPr="00D82E3F">
        <w:t xml:space="preserve"> (</w:t>
      </w:r>
      <w:proofErr w:type="spellStart"/>
      <w:r w:rsidR="0080146F">
        <w:t>ie</w:t>
      </w:r>
      <w:proofErr w:type="spellEnd"/>
      <w:r w:rsidR="0080146F">
        <w:t xml:space="preserve"> </w:t>
      </w:r>
      <w:r w:rsidRPr="00D82E3F">
        <w:t>the midpoint between the highest and lowest priced properties)</w:t>
      </w:r>
      <w:r w:rsidR="00F42C9B" w:rsidRPr="00D82E3F">
        <w:t xml:space="preserve">. </w:t>
      </w:r>
      <w:r w:rsidRPr="00D82E3F">
        <w:t>In comparison to</w:t>
      </w:r>
      <w:r w:rsidR="00F42C9B" w:rsidRPr="00D82E3F">
        <w:t xml:space="preserve"> the £305k median figure for IOS</w:t>
      </w:r>
      <w:r w:rsidRPr="00D82E3F">
        <w:t xml:space="preserve">, </w:t>
      </w:r>
      <w:r w:rsidR="00F42C9B" w:rsidRPr="00D82E3F">
        <w:t xml:space="preserve">the median for Cornwall </w:t>
      </w:r>
      <w:r w:rsidRPr="00D82E3F">
        <w:t xml:space="preserve">and the wider South </w:t>
      </w:r>
      <w:r>
        <w:t xml:space="preserve">West is </w:t>
      </w:r>
      <w:r w:rsidR="00581D8E">
        <w:t>£190k</w:t>
      </w:r>
      <w:r w:rsidR="00F42C9B">
        <w:t xml:space="preserve"> and t</w:t>
      </w:r>
      <w:r w:rsidR="00581D8E">
        <w:t>he median for England £184k.</w:t>
      </w:r>
    </w:p>
    <w:p w:rsidR="00370DF3" w:rsidRPr="00F726F7" w:rsidRDefault="008602A2" w:rsidP="0087683A">
      <w:pPr>
        <w:pStyle w:val="Legal3"/>
        <w:spacing w:before="120" w:after="120"/>
        <w:ind w:left="709" w:hanging="709"/>
      </w:pPr>
      <w:r>
        <w:rPr>
          <w:color w:val="000000"/>
        </w:rPr>
        <w:t>A</w:t>
      </w:r>
      <w:r w:rsidR="00F726F7">
        <w:rPr>
          <w:color w:val="000000"/>
        </w:rPr>
        <w:t xml:space="preserve">verage weekly rental prices on </w:t>
      </w:r>
      <w:r w:rsidR="00352C70">
        <w:rPr>
          <w:color w:val="000000"/>
        </w:rPr>
        <w:t xml:space="preserve">the </w:t>
      </w:r>
      <w:r w:rsidR="00F726F7">
        <w:rPr>
          <w:color w:val="000000"/>
        </w:rPr>
        <w:t>IOS</w:t>
      </w:r>
      <w:r w:rsidR="00F726F7">
        <w:rPr>
          <w:rStyle w:val="FootnoteReference"/>
        </w:rPr>
        <w:footnoteReference w:id="5"/>
      </w:r>
      <w:r w:rsidR="00F726F7">
        <w:rPr>
          <w:color w:val="000000"/>
        </w:rPr>
        <w:t xml:space="preserve"> in 2011/12 were:</w:t>
      </w:r>
    </w:p>
    <w:p w:rsidR="00F726F7" w:rsidRDefault="00F726F7" w:rsidP="00F726F7">
      <w:pPr>
        <w:pStyle w:val="Legal3"/>
        <w:numPr>
          <w:ilvl w:val="0"/>
          <w:numId w:val="5"/>
        </w:numPr>
        <w:spacing w:before="120" w:after="120"/>
        <w:ind w:left="1134" w:hanging="425"/>
      </w:pPr>
      <w:r>
        <w:lastRenderedPageBreak/>
        <w:t>£64.94 for council properties</w:t>
      </w:r>
    </w:p>
    <w:p w:rsidR="00F726F7" w:rsidRDefault="00F726F7" w:rsidP="00F726F7">
      <w:pPr>
        <w:pStyle w:val="Legal3"/>
        <w:numPr>
          <w:ilvl w:val="0"/>
          <w:numId w:val="5"/>
        </w:numPr>
        <w:spacing w:before="120" w:after="120"/>
        <w:ind w:left="1134" w:hanging="425"/>
      </w:pPr>
      <w:r>
        <w:t>£79.85 for properties rented from housing associations</w:t>
      </w:r>
    </w:p>
    <w:p w:rsidR="008602A2" w:rsidRPr="00D55D75" w:rsidRDefault="00341F3A" w:rsidP="00F726F7">
      <w:pPr>
        <w:pStyle w:val="Legal3"/>
        <w:numPr>
          <w:ilvl w:val="0"/>
          <w:numId w:val="5"/>
        </w:numPr>
        <w:spacing w:before="120" w:after="120"/>
        <w:ind w:left="1134" w:hanging="425"/>
      </w:pPr>
      <w:r>
        <w:t>£1</w:t>
      </w:r>
      <w:r w:rsidR="00E25796">
        <w:t>6</w:t>
      </w:r>
      <w:r>
        <w:t xml:space="preserve">0 private rented and </w:t>
      </w:r>
      <w:r w:rsidR="008602A2">
        <w:t>£</w:t>
      </w:r>
      <w:r>
        <w:t>1</w:t>
      </w:r>
      <w:r w:rsidR="00C16121">
        <w:t>3</w:t>
      </w:r>
      <w:r>
        <w:t>0 Duchy.</w:t>
      </w:r>
    </w:p>
    <w:p w:rsidR="00F726F7" w:rsidRPr="00F726F7" w:rsidRDefault="00F726F7" w:rsidP="0087683A">
      <w:pPr>
        <w:pStyle w:val="Legal3"/>
        <w:spacing w:before="120" w:after="120"/>
        <w:ind w:left="709" w:hanging="709"/>
      </w:pPr>
      <w:r>
        <w:t>Also according to DCLG at 1</w:t>
      </w:r>
      <w:r w:rsidRPr="00F726F7">
        <w:rPr>
          <w:vertAlign w:val="superscript"/>
        </w:rPr>
        <w:t>st</w:t>
      </w:r>
      <w:r>
        <w:t xml:space="preserve"> April 2011 there were </w:t>
      </w:r>
      <w:r w:rsidR="00051563">
        <w:t>79 households (7.7% of total) on the CIOS housing waiting list.</w:t>
      </w:r>
      <w:r w:rsidR="00FF30E4">
        <w:t xml:space="preserve"> This figure had increased to 87 by September 2012.</w:t>
      </w:r>
      <w:r w:rsidR="00FF30E4">
        <w:rPr>
          <w:rStyle w:val="FootnoteReference"/>
        </w:rPr>
        <w:footnoteReference w:id="6"/>
      </w:r>
    </w:p>
    <w:p w:rsidR="00E35C82" w:rsidRPr="00DF4D66" w:rsidRDefault="00E35C82" w:rsidP="00E35C82">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Employment and other statistics</w:t>
      </w:r>
    </w:p>
    <w:p w:rsidR="00D55D75" w:rsidRPr="00D55D75" w:rsidRDefault="00D55D75" w:rsidP="0087683A">
      <w:pPr>
        <w:pStyle w:val="Legal3"/>
        <w:spacing w:before="120" w:after="120"/>
        <w:ind w:left="709" w:hanging="709"/>
      </w:pPr>
      <w:r>
        <w:rPr>
          <w:color w:val="000000"/>
        </w:rPr>
        <w:t>Data is also available</w:t>
      </w:r>
      <w:r w:rsidR="00F726F7">
        <w:rPr>
          <w:color w:val="000000"/>
        </w:rPr>
        <w:t>,</w:t>
      </w:r>
      <w:r>
        <w:rPr>
          <w:color w:val="000000"/>
        </w:rPr>
        <w:t xml:space="preserve"> from NOMIS</w:t>
      </w:r>
      <w:r>
        <w:rPr>
          <w:rStyle w:val="FootnoteReference"/>
          <w:color w:val="000000"/>
        </w:rPr>
        <w:footnoteReference w:id="7"/>
      </w:r>
      <w:r w:rsidR="00214469">
        <w:rPr>
          <w:color w:val="000000"/>
        </w:rPr>
        <w:t xml:space="preserve"> (Office for National Statistics</w:t>
      </w:r>
      <w:r w:rsidR="00663F12">
        <w:rPr>
          <w:color w:val="000000"/>
        </w:rPr>
        <w:t>, Official Labour Market Statistics</w:t>
      </w:r>
      <w:r w:rsidR="00214469">
        <w:rPr>
          <w:color w:val="000000"/>
        </w:rPr>
        <w:t>)</w:t>
      </w:r>
      <w:r w:rsidR="00F726F7">
        <w:rPr>
          <w:color w:val="000000"/>
        </w:rPr>
        <w:t>,</w:t>
      </w:r>
      <w:r>
        <w:rPr>
          <w:color w:val="000000"/>
        </w:rPr>
        <w:t xml:space="preserve"> on the number of IOS residents claiming benefits. This information shows that:</w:t>
      </w:r>
    </w:p>
    <w:p w:rsidR="00D55D75" w:rsidRPr="00D55D75" w:rsidRDefault="00D55D75" w:rsidP="00D55D75">
      <w:pPr>
        <w:pStyle w:val="Legal3"/>
        <w:numPr>
          <w:ilvl w:val="0"/>
          <w:numId w:val="5"/>
        </w:numPr>
        <w:spacing w:before="120" w:after="120"/>
        <w:ind w:left="1134" w:hanging="425"/>
      </w:pPr>
      <w:r>
        <w:rPr>
          <w:color w:val="000000"/>
        </w:rPr>
        <w:t>1</w:t>
      </w:r>
      <w:r w:rsidRPr="00D55D75">
        <w:t>.1% of the working age population are claiming Job Seekers Allowance</w:t>
      </w:r>
      <w:r w:rsidR="00107011">
        <w:t>, pointing to high levels of employment on the islands</w:t>
      </w:r>
    </w:p>
    <w:p w:rsidR="00D55D75" w:rsidRPr="00D55D75" w:rsidRDefault="00D55D75" w:rsidP="00D55D75">
      <w:pPr>
        <w:pStyle w:val="Legal3"/>
        <w:numPr>
          <w:ilvl w:val="0"/>
          <w:numId w:val="5"/>
        </w:numPr>
        <w:spacing w:before="120" w:after="120"/>
        <w:ind w:left="1134" w:hanging="425"/>
      </w:pPr>
      <w:r w:rsidRPr="00D55D75">
        <w:t>1.8% are claiming incapacity benefits</w:t>
      </w:r>
    </w:p>
    <w:p w:rsidR="00D55D75" w:rsidRDefault="00D55D75" w:rsidP="00D55D75">
      <w:pPr>
        <w:pStyle w:val="Legal3"/>
        <w:numPr>
          <w:ilvl w:val="0"/>
          <w:numId w:val="5"/>
        </w:numPr>
        <w:spacing w:before="120" w:after="120"/>
        <w:ind w:left="1134" w:hanging="425"/>
      </w:pPr>
      <w:r>
        <w:t>0.6% are claiming disability benefits</w:t>
      </w:r>
      <w:r w:rsidR="008D280B">
        <w:t>,</w:t>
      </w:r>
    </w:p>
    <w:p w:rsidR="00D55D75" w:rsidRDefault="00D55D75" w:rsidP="0087683A">
      <w:pPr>
        <w:pStyle w:val="Legal3"/>
        <w:spacing w:before="120" w:after="120"/>
        <w:ind w:left="709" w:hanging="709"/>
      </w:pPr>
      <w:r>
        <w:t>The same source of information from NOMIS</w:t>
      </w:r>
      <w:r>
        <w:rPr>
          <w:rStyle w:val="FootnoteReference"/>
        </w:rPr>
        <w:footnoteReference w:id="8"/>
      </w:r>
      <w:r>
        <w:t xml:space="preserve"> states that there are 1,200 jobs on IOS, made up of 800 full time and 400 part time roles. Of these 1,200 jobs</w:t>
      </w:r>
      <w:r w:rsidR="0080146F">
        <w:t>,</w:t>
      </w:r>
      <w:r>
        <w:t xml:space="preserve"> </w:t>
      </w:r>
      <w:r w:rsidR="0080146F">
        <w:t xml:space="preserve">300 are in the tourism industry itself while </w:t>
      </w:r>
      <w:r>
        <w:t>900 are in</w:t>
      </w:r>
      <w:r w:rsidR="0080146F">
        <w:t>volved in</w:t>
      </w:r>
      <w:r>
        <w:t xml:space="preserve"> </w:t>
      </w:r>
      <w:r w:rsidR="0080146F">
        <w:t xml:space="preserve">wider </w:t>
      </w:r>
      <w:r>
        <w:t>service</w:t>
      </w:r>
      <w:r w:rsidR="0080146F">
        <w:t xml:space="preserve"> provision (i</w:t>
      </w:r>
      <w:r w:rsidR="00460194">
        <w:t>.</w:t>
      </w:r>
      <w:r w:rsidR="0080146F">
        <w:t>e</w:t>
      </w:r>
      <w:r w:rsidR="00460194">
        <w:t>.</w:t>
      </w:r>
      <w:r w:rsidR="0080146F">
        <w:t xml:space="preserve"> </w:t>
      </w:r>
      <w:r>
        <w:t xml:space="preserve">transport, public sector, restaurants etc.) </w:t>
      </w:r>
    </w:p>
    <w:p w:rsidR="0087683A" w:rsidRPr="00192EA1" w:rsidRDefault="0087683A" w:rsidP="000073B1">
      <w:pPr>
        <w:pStyle w:val="Legal1"/>
        <w:numPr>
          <w:ilvl w:val="0"/>
          <w:numId w:val="3"/>
        </w:numPr>
        <w:spacing w:before="120" w:after="60"/>
        <w:rPr>
          <w:color w:val="403152"/>
          <w:sz w:val="24"/>
          <w:szCs w:val="24"/>
        </w:rPr>
      </w:pPr>
      <w:r w:rsidRPr="00192EA1">
        <w:rPr>
          <w:color w:val="403152"/>
          <w:sz w:val="24"/>
          <w:szCs w:val="24"/>
        </w:rPr>
        <w:br w:type="page"/>
      </w:r>
      <w:bookmarkStart w:id="3" w:name="_Toc343686376"/>
      <w:r w:rsidRPr="00192EA1">
        <w:rPr>
          <w:color w:val="403152"/>
          <w:sz w:val="24"/>
          <w:szCs w:val="24"/>
        </w:rPr>
        <w:lastRenderedPageBreak/>
        <w:t>Methodology for the Housing Needs Survey</w:t>
      </w:r>
      <w:bookmarkEnd w:id="3"/>
    </w:p>
    <w:p w:rsidR="00AF6315" w:rsidRPr="00DF4D66" w:rsidRDefault="00AF6315"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Overview</w:t>
      </w:r>
    </w:p>
    <w:p w:rsidR="00AF6315" w:rsidRPr="00AF6315" w:rsidRDefault="00AF6315" w:rsidP="00AF6315">
      <w:pPr>
        <w:pStyle w:val="Legal3"/>
        <w:spacing w:before="120" w:after="120"/>
        <w:ind w:left="709" w:hanging="709"/>
      </w:pPr>
      <w:r>
        <w:rPr>
          <w:color w:val="000000"/>
        </w:rPr>
        <w:t>Altair was commissioned by the CIOS to run the HNS 2012. This included the initial design of the survey form, collection and analysis of data and reporting.</w:t>
      </w:r>
    </w:p>
    <w:p w:rsidR="00AF6315" w:rsidRDefault="00AF6315" w:rsidP="00AF6315">
      <w:pPr>
        <w:pStyle w:val="Legal3"/>
        <w:spacing w:before="120" w:after="120"/>
        <w:ind w:left="709" w:hanging="709"/>
      </w:pPr>
      <w:r>
        <w:rPr>
          <w:color w:val="000000"/>
        </w:rPr>
        <w:t>The aims of the survey were to:</w:t>
      </w:r>
    </w:p>
    <w:p w:rsidR="00AF6315" w:rsidRDefault="00AF6315" w:rsidP="000073B1">
      <w:pPr>
        <w:pStyle w:val="Legal3"/>
        <w:numPr>
          <w:ilvl w:val="0"/>
          <w:numId w:val="5"/>
        </w:numPr>
        <w:spacing w:before="120" w:after="120"/>
        <w:ind w:left="1134" w:hanging="425"/>
      </w:pPr>
      <w:r>
        <w:t>Update the information collected in the previous Housing Needs Survey completed in 2005</w:t>
      </w:r>
    </w:p>
    <w:p w:rsidR="00AF6315" w:rsidRDefault="00AF6315" w:rsidP="000073B1">
      <w:pPr>
        <w:pStyle w:val="Legal3"/>
        <w:numPr>
          <w:ilvl w:val="0"/>
          <w:numId w:val="5"/>
        </w:numPr>
        <w:spacing w:before="120" w:after="120"/>
        <w:ind w:left="1134" w:hanging="425"/>
      </w:pPr>
      <w:r>
        <w:t xml:space="preserve">Provide an understanding of a range of housing related </w:t>
      </w:r>
      <w:r w:rsidR="007D7271">
        <w:t>issues</w:t>
      </w:r>
      <w:r>
        <w:t xml:space="preserve"> e.g.; satisfaction levels with current housing on the IOS, housing affordability, appetite for more housing on the islands</w:t>
      </w:r>
    </w:p>
    <w:p w:rsidR="00AF6315" w:rsidRDefault="00AF6315" w:rsidP="000073B1">
      <w:pPr>
        <w:pStyle w:val="Legal3"/>
        <w:numPr>
          <w:ilvl w:val="0"/>
          <w:numId w:val="5"/>
        </w:numPr>
        <w:spacing w:before="120" w:after="120"/>
        <w:ind w:left="1134" w:hanging="425"/>
      </w:pPr>
      <w:r>
        <w:t>Collect quantitative data to inform the development of a new tenancy strategy for CIOS</w:t>
      </w:r>
      <w:r w:rsidR="008D280B">
        <w:t>.</w:t>
      </w:r>
    </w:p>
    <w:p w:rsidR="00AF6315" w:rsidRPr="00D82E3F" w:rsidRDefault="00AF6315" w:rsidP="00AF6315">
      <w:pPr>
        <w:pStyle w:val="Legal3"/>
        <w:spacing w:before="120" w:after="120"/>
        <w:ind w:left="709" w:hanging="709"/>
      </w:pPr>
      <w:r w:rsidRPr="00D82E3F">
        <w:t>Work on the HNS</w:t>
      </w:r>
      <w:r w:rsidR="00D82E3F" w:rsidRPr="00D82E3F">
        <w:t xml:space="preserve"> 2012 began in July 2012 and a draft</w:t>
      </w:r>
      <w:r w:rsidRPr="00D82E3F">
        <w:t xml:space="preserve"> report was provided in </w:t>
      </w:r>
      <w:r w:rsidR="00D82E3F" w:rsidRPr="00D82E3F">
        <w:t>December</w:t>
      </w:r>
      <w:r w:rsidRPr="00D82E3F">
        <w:t xml:space="preserve"> 2012. </w:t>
      </w:r>
    </w:p>
    <w:p w:rsidR="0087683A" w:rsidRPr="00DF4D66" w:rsidRDefault="00AB6789"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Design of the survey</w:t>
      </w:r>
      <w:r w:rsidR="00192EA1">
        <w:rPr>
          <w:b/>
          <w:color w:val="403152" w:themeColor="accent4" w:themeShade="80"/>
        </w:rPr>
        <w:t>, promotion</w:t>
      </w:r>
      <w:r w:rsidR="00CB352D">
        <w:rPr>
          <w:b/>
          <w:color w:val="403152" w:themeColor="accent4" w:themeShade="80"/>
        </w:rPr>
        <w:t xml:space="preserve"> and collection of data</w:t>
      </w:r>
    </w:p>
    <w:p w:rsidR="0087683A" w:rsidRDefault="00AF6315" w:rsidP="0087683A">
      <w:pPr>
        <w:pStyle w:val="Legal3"/>
        <w:spacing w:before="120" w:after="120"/>
        <w:ind w:left="709" w:hanging="709"/>
      </w:pPr>
      <w:r>
        <w:rPr>
          <w:color w:val="000000"/>
        </w:rPr>
        <w:t xml:space="preserve">The design of the survey was largely based on the previous survey developed in </w:t>
      </w:r>
      <w:r w:rsidRPr="00D82E3F">
        <w:t xml:space="preserve">2005, with some updates and additional questions added. The full HNS 2012 can be found at Appendix </w:t>
      </w:r>
      <w:r w:rsidR="002B3889">
        <w:t>A</w:t>
      </w:r>
      <w:bookmarkStart w:id="4" w:name="_GoBack"/>
      <w:bookmarkEnd w:id="4"/>
      <w:r w:rsidRPr="00D82E3F">
        <w:t xml:space="preserve"> and in summary </w:t>
      </w:r>
      <w:r>
        <w:rPr>
          <w:color w:val="000000"/>
        </w:rPr>
        <w:t>it covered the following</w:t>
      </w:r>
      <w:r w:rsidR="008D280B">
        <w:rPr>
          <w:color w:val="000000"/>
        </w:rPr>
        <w:t>:</w:t>
      </w:r>
      <w:r>
        <w:rPr>
          <w:color w:val="000000"/>
        </w:rPr>
        <w:t xml:space="preserve"> </w:t>
      </w:r>
    </w:p>
    <w:p w:rsidR="0087683A" w:rsidRDefault="00AF6315" w:rsidP="000073B1">
      <w:pPr>
        <w:pStyle w:val="Legal3"/>
        <w:numPr>
          <w:ilvl w:val="0"/>
          <w:numId w:val="5"/>
        </w:numPr>
        <w:spacing w:before="120" w:after="120"/>
        <w:ind w:left="1134" w:hanging="425"/>
      </w:pPr>
      <w:r>
        <w:t>Contact details</w:t>
      </w:r>
    </w:p>
    <w:p w:rsidR="00AF6315" w:rsidRDefault="00AF6315" w:rsidP="000073B1">
      <w:pPr>
        <w:pStyle w:val="Legal3"/>
        <w:numPr>
          <w:ilvl w:val="0"/>
          <w:numId w:val="5"/>
        </w:numPr>
        <w:spacing w:before="120" w:after="120"/>
        <w:ind w:left="1134" w:hanging="425"/>
      </w:pPr>
      <w:r>
        <w:t>Current property details</w:t>
      </w:r>
    </w:p>
    <w:p w:rsidR="00AF6315" w:rsidRDefault="00AF6315" w:rsidP="000073B1">
      <w:pPr>
        <w:pStyle w:val="Legal3"/>
        <w:numPr>
          <w:ilvl w:val="0"/>
          <w:numId w:val="5"/>
        </w:numPr>
        <w:spacing w:before="120" w:after="120"/>
        <w:ind w:left="1134" w:hanging="425"/>
      </w:pPr>
      <w:r>
        <w:t>Ownership of property and residence</w:t>
      </w:r>
    </w:p>
    <w:p w:rsidR="00CB352D" w:rsidRDefault="00CB352D" w:rsidP="000073B1">
      <w:pPr>
        <w:pStyle w:val="Legal3"/>
        <w:numPr>
          <w:ilvl w:val="0"/>
          <w:numId w:val="6"/>
        </w:numPr>
        <w:spacing w:before="120" w:after="120"/>
        <w:ind w:left="1560"/>
      </w:pPr>
      <w:r>
        <w:t xml:space="preserve">Housing Need - </w:t>
      </w:r>
      <w:r w:rsidR="00AF6315">
        <w:t xml:space="preserve">covering; </w:t>
      </w:r>
    </w:p>
    <w:p w:rsidR="00CB352D" w:rsidRDefault="00CB352D" w:rsidP="000073B1">
      <w:pPr>
        <w:pStyle w:val="Legal3"/>
        <w:numPr>
          <w:ilvl w:val="0"/>
          <w:numId w:val="6"/>
        </w:numPr>
        <w:spacing w:before="120" w:after="120"/>
        <w:ind w:left="1560"/>
      </w:pPr>
      <w:r>
        <w:t>S</w:t>
      </w:r>
      <w:r w:rsidR="00AF6315">
        <w:t>atisfaction</w:t>
      </w:r>
    </w:p>
    <w:p w:rsidR="00CB352D" w:rsidRDefault="00CB352D" w:rsidP="000073B1">
      <w:pPr>
        <w:pStyle w:val="Legal3"/>
        <w:numPr>
          <w:ilvl w:val="0"/>
          <w:numId w:val="6"/>
        </w:numPr>
        <w:spacing w:before="120" w:after="120"/>
        <w:ind w:left="1560"/>
      </w:pPr>
      <w:r>
        <w:t>A</w:t>
      </w:r>
      <w:r w:rsidR="00AF6315">
        <w:t>ffordability</w:t>
      </w:r>
    </w:p>
    <w:p w:rsidR="00CB352D" w:rsidRDefault="007D7271" w:rsidP="000073B1">
      <w:pPr>
        <w:pStyle w:val="Legal3"/>
        <w:numPr>
          <w:ilvl w:val="0"/>
          <w:numId w:val="6"/>
        </w:numPr>
        <w:spacing w:before="120" w:after="120"/>
        <w:ind w:left="1560"/>
      </w:pPr>
      <w:r>
        <w:t>F</w:t>
      </w:r>
      <w:r w:rsidR="00AF6315">
        <w:t>uture requirements</w:t>
      </w:r>
      <w:r w:rsidR="00CB352D">
        <w:t xml:space="preserve"> – location, size etc., income and employment and appetite for more housing)</w:t>
      </w:r>
      <w:r w:rsidR="008D280B">
        <w:t>.</w:t>
      </w:r>
    </w:p>
    <w:p w:rsidR="00CB352D" w:rsidRDefault="00CB352D" w:rsidP="00CB352D">
      <w:pPr>
        <w:pStyle w:val="Legal3"/>
        <w:spacing w:before="120" w:after="120"/>
        <w:ind w:left="709" w:hanging="709"/>
      </w:pPr>
      <w:r>
        <w:t>The survey was made available for completion in both hard copy and online (using Survey Monkey</w:t>
      </w:r>
      <w:r w:rsidR="00352C70">
        <w:t>)</w:t>
      </w:r>
      <w:r>
        <w:t xml:space="preserve"> formats. Hard copy responses were returned to CIOS officers and then passed onto Altair for analysis. Online responses were collated by Altair.</w:t>
      </w:r>
    </w:p>
    <w:p w:rsidR="00192EA1" w:rsidRDefault="00192EA1" w:rsidP="00CB352D">
      <w:pPr>
        <w:pStyle w:val="Legal3"/>
        <w:spacing w:before="120" w:after="120"/>
        <w:ind w:left="709" w:hanging="709"/>
      </w:pPr>
      <w:r>
        <w:t>It was promoted to residents for completion through a number of channels</w:t>
      </w:r>
      <w:r w:rsidR="007D7271">
        <w:t>,</w:t>
      </w:r>
      <w:r>
        <w:t xml:space="preserve"> </w:t>
      </w:r>
      <w:r w:rsidR="00460194">
        <w:t>namely on</w:t>
      </w:r>
      <w:r>
        <w:t xml:space="preserve"> </w:t>
      </w:r>
      <w:r w:rsidR="007D7271">
        <w:t xml:space="preserve">the </w:t>
      </w:r>
      <w:r>
        <w:t>CIOS website</w:t>
      </w:r>
      <w:r w:rsidR="007D7271">
        <w:t>,</w:t>
      </w:r>
      <w:r>
        <w:t xml:space="preserve"> </w:t>
      </w:r>
      <w:r w:rsidR="007D7271">
        <w:t>R</w:t>
      </w:r>
      <w:r>
        <w:t xml:space="preserve">adio </w:t>
      </w:r>
      <w:r w:rsidR="007D7271">
        <w:t xml:space="preserve">Scilly </w:t>
      </w:r>
      <w:r>
        <w:t xml:space="preserve">and in CIOS offices and reception areas. </w:t>
      </w:r>
    </w:p>
    <w:p w:rsidR="00CB352D" w:rsidRDefault="00CB352D" w:rsidP="00CB352D">
      <w:pPr>
        <w:pStyle w:val="Legal3"/>
        <w:spacing w:before="120" w:after="120"/>
        <w:ind w:left="709" w:hanging="709"/>
      </w:pPr>
      <w:r>
        <w:t>The survey was open to responses between 10</w:t>
      </w:r>
      <w:r w:rsidRPr="00AF6315">
        <w:rPr>
          <w:vertAlign w:val="superscript"/>
        </w:rPr>
        <w:t>th</w:t>
      </w:r>
      <w:r>
        <w:t xml:space="preserve"> September 2012 and 19</w:t>
      </w:r>
      <w:r w:rsidRPr="00AF6315">
        <w:rPr>
          <w:vertAlign w:val="superscript"/>
        </w:rPr>
        <w:t>th</w:t>
      </w:r>
      <w:r>
        <w:t xml:space="preserve"> October 2012.</w:t>
      </w:r>
    </w:p>
    <w:p w:rsidR="00CB352D" w:rsidRPr="00DF4D66" w:rsidRDefault="00192EA1"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Data cleansing and a</w:t>
      </w:r>
      <w:r w:rsidR="00CB352D">
        <w:rPr>
          <w:b/>
          <w:color w:val="403152" w:themeColor="accent4" w:themeShade="80"/>
        </w:rPr>
        <w:t>nalysis</w:t>
      </w:r>
    </w:p>
    <w:p w:rsidR="00CB352D" w:rsidRDefault="00CB352D" w:rsidP="00192EA1">
      <w:pPr>
        <w:pStyle w:val="Legal3"/>
        <w:spacing w:before="120" w:after="120"/>
        <w:ind w:left="709" w:hanging="709"/>
      </w:pPr>
      <w:r w:rsidRPr="00192EA1">
        <w:t xml:space="preserve">Having collected data through the online and hard copy surveys, </w:t>
      </w:r>
      <w:r w:rsidR="007D7271">
        <w:t>i</w:t>
      </w:r>
      <w:r w:rsidRPr="00192EA1">
        <w:t>t</w:t>
      </w:r>
      <w:r w:rsidR="00192EA1" w:rsidRPr="00192EA1">
        <w:t xml:space="preserve"> </w:t>
      </w:r>
      <w:r w:rsidRPr="00192EA1">
        <w:t xml:space="preserve">was then </w:t>
      </w:r>
      <w:r w:rsidR="00192EA1" w:rsidRPr="00192EA1">
        <w:t>cleanse</w:t>
      </w:r>
      <w:r w:rsidR="007D7271">
        <w:t>d</w:t>
      </w:r>
      <w:r w:rsidR="00192EA1" w:rsidRPr="00192EA1">
        <w:t xml:space="preserve"> to ensure</w:t>
      </w:r>
      <w:r>
        <w:t xml:space="preserve"> there were no duplications (i.e. one person completing it twice or more than one response from a single household) </w:t>
      </w:r>
      <w:r w:rsidR="007D7271">
        <w:t>A</w:t>
      </w:r>
      <w:r>
        <w:t>ny spoiled submissions were removed from the</w:t>
      </w:r>
      <w:r w:rsidR="00192EA1">
        <w:t xml:space="preserve"> analysis</w:t>
      </w:r>
    </w:p>
    <w:p w:rsidR="00192EA1" w:rsidRDefault="00192EA1" w:rsidP="00192EA1">
      <w:pPr>
        <w:pStyle w:val="Legal3"/>
        <w:spacing w:before="120" w:after="120"/>
        <w:ind w:left="709" w:hanging="709"/>
      </w:pPr>
      <w:r>
        <w:t>This single set of data was then analysed with the output findings detailed in Section 6 of this report.</w:t>
      </w:r>
    </w:p>
    <w:p w:rsidR="007D7271" w:rsidRDefault="007D7271" w:rsidP="007D7271">
      <w:pPr>
        <w:pStyle w:val="Legal2"/>
        <w:spacing w:before="120" w:after="120"/>
        <w:ind w:left="1620"/>
        <w:rPr>
          <w:b/>
          <w:color w:val="403152" w:themeColor="accent4" w:themeShade="80"/>
        </w:rPr>
      </w:pPr>
    </w:p>
    <w:p w:rsidR="007D7271" w:rsidRDefault="007D7271" w:rsidP="007D7271">
      <w:pPr>
        <w:pStyle w:val="Legal2"/>
        <w:spacing w:before="120" w:after="120"/>
        <w:ind w:left="1620"/>
        <w:rPr>
          <w:b/>
          <w:color w:val="403152" w:themeColor="accent4" w:themeShade="80"/>
        </w:rPr>
      </w:pPr>
    </w:p>
    <w:p w:rsidR="00AB6789" w:rsidRPr="00DF4D66" w:rsidRDefault="00AB6789" w:rsidP="00BB4857">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lastRenderedPageBreak/>
        <w:t>Additional data collection</w:t>
      </w:r>
    </w:p>
    <w:p w:rsidR="00AB6789" w:rsidRPr="00CB352D" w:rsidRDefault="00CB352D" w:rsidP="00BB4857">
      <w:pPr>
        <w:pStyle w:val="Legal3"/>
        <w:tabs>
          <w:tab w:val="clear" w:pos="1004"/>
          <w:tab w:val="num" w:pos="720"/>
        </w:tabs>
        <w:spacing w:before="120" w:after="120"/>
        <w:ind w:left="709" w:hanging="709"/>
      </w:pPr>
      <w:r w:rsidRPr="00BB4857">
        <w:t>Throughout this report we make reference to other available data. This has the dual purpose of both validating information collected in the HNS 2012 and also providing further contextual information where required. This additional data includes information collected from sources such as</w:t>
      </w:r>
      <w:r w:rsidR="007D7271" w:rsidRPr="00BB4857">
        <w:t xml:space="preserve"> including</w:t>
      </w:r>
      <w:r w:rsidRPr="00BB4857">
        <w:t xml:space="preserve"> Census 2011, Office for National Statistics, Land Registry, CIOS</w:t>
      </w:r>
      <w:r w:rsidR="00352C70" w:rsidRPr="00BB4857">
        <w:t xml:space="preserve">, </w:t>
      </w:r>
      <w:proofErr w:type="gramStart"/>
      <w:r w:rsidR="00352C70" w:rsidRPr="00BB4857">
        <w:t>DCLG</w:t>
      </w:r>
      <w:proofErr w:type="gramEnd"/>
      <w:r w:rsidRPr="00BB4857">
        <w:t xml:space="preserve"> etc.</w:t>
      </w:r>
      <w:r w:rsidR="00352C70" w:rsidRPr="00BB4857">
        <w:t xml:space="preserve"> </w:t>
      </w:r>
    </w:p>
    <w:p w:rsidR="00CB352D" w:rsidRDefault="00CB352D" w:rsidP="00BB4857">
      <w:pPr>
        <w:pStyle w:val="Legal3"/>
        <w:tabs>
          <w:tab w:val="clear" w:pos="1004"/>
          <w:tab w:val="num" w:pos="720"/>
        </w:tabs>
        <w:spacing w:before="120" w:after="120"/>
        <w:ind w:left="709" w:hanging="709"/>
      </w:pPr>
      <w:r w:rsidRPr="00BB4857">
        <w:t xml:space="preserve">All additional data used to develop this report is appropriately referenced with full details of the data source included in footnotes. </w:t>
      </w:r>
    </w:p>
    <w:p w:rsidR="0087683A" w:rsidRPr="00370DF3" w:rsidRDefault="0087683A" w:rsidP="000073B1">
      <w:pPr>
        <w:pStyle w:val="Legal1"/>
        <w:numPr>
          <w:ilvl w:val="0"/>
          <w:numId w:val="3"/>
        </w:numPr>
        <w:spacing w:before="120" w:after="60"/>
        <w:rPr>
          <w:color w:val="403152"/>
          <w:sz w:val="24"/>
          <w:szCs w:val="24"/>
        </w:rPr>
      </w:pPr>
      <w:r w:rsidRPr="00370DF3">
        <w:rPr>
          <w:color w:val="403152"/>
          <w:sz w:val="24"/>
          <w:szCs w:val="24"/>
        </w:rPr>
        <w:br w:type="page"/>
      </w:r>
      <w:bookmarkStart w:id="5" w:name="_Toc343686377"/>
      <w:r w:rsidR="00817598">
        <w:rPr>
          <w:color w:val="403152"/>
          <w:sz w:val="24"/>
          <w:szCs w:val="24"/>
        </w:rPr>
        <w:lastRenderedPageBreak/>
        <w:t>Key characteristics of the sample</w:t>
      </w:r>
      <w:bookmarkEnd w:id="5"/>
    </w:p>
    <w:p w:rsidR="00CB352D" w:rsidRPr="00DF4D66" w:rsidRDefault="00CB352D"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Sample size</w:t>
      </w:r>
    </w:p>
    <w:p w:rsidR="00370DF3" w:rsidRPr="00370DF3" w:rsidRDefault="00370DF3" w:rsidP="00CB352D">
      <w:pPr>
        <w:pStyle w:val="Legal3"/>
        <w:spacing w:before="120" w:after="120"/>
        <w:ind w:left="709" w:hanging="709"/>
      </w:pPr>
      <w:r>
        <w:rPr>
          <w:color w:val="000000"/>
        </w:rPr>
        <w:t xml:space="preserve">The survey elicited </w:t>
      </w:r>
      <w:r w:rsidR="007D7271">
        <w:rPr>
          <w:color w:val="000000"/>
        </w:rPr>
        <w:t>more than</w:t>
      </w:r>
      <w:r>
        <w:rPr>
          <w:color w:val="000000"/>
        </w:rPr>
        <w:t xml:space="preserve"> 80 responses. These responses were collected through </w:t>
      </w:r>
      <w:r w:rsidR="007D7271">
        <w:rPr>
          <w:color w:val="000000"/>
        </w:rPr>
        <w:t xml:space="preserve">both </w:t>
      </w:r>
      <w:r>
        <w:rPr>
          <w:color w:val="000000"/>
        </w:rPr>
        <w:t>online and hard copies</w:t>
      </w:r>
      <w:r w:rsidR="007D7271">
        <w:rPr>
          <w:color w:val="000000"/>
        </w:rPr>
        <w:t>.</w:t>
      </w:r>
      <w:r>
        <w:rPr>
          <w:color w:val="000000"/>
        </w:rPr>
        <w:t xml:space="preserve"> </w:t>
      </w:r>
    </w:p>
    <w:p w:rsidR="00352C70" w:rsidRPr="00352C70" w:rsidRDefault="00370DF3" w:rsidP="00CB352D">
      <w:pPr>
        <w:pStyle w:val="Legal3"/>
        <w:spacing w:before="120" w:after="120"/>
        <w:ind w:left="709" w:hanging="709"/>
      </w:pPr>
      <w:r>
        <w:rPr>
          <w:color w:val="000000"/>
        </w:rPr>
        <w:t xml:space="preserve">A key requisite of the survey was that only one form per household should be returned. After all responses were collated, the data set was checked to identify any duplications or where more than one form had been returned from a single household. </w:t>
      </w:r>
    </w:p>
    <w:p w:rsidR="00CB352D" w:rsidRPr="00C05179" w:rsidRDefault="00C05179" w:rsidP="00CB352D">
      <w:pPr>
        <w:pStyle w:val="Legal3"/>
        <w:spacing w:before="120" w:after="120"/>
        <w:ind w:left="709" w:hanging="709"/>
      </w:pPr>
      <w:r>
        <w:rPr>
          <w:color w:val="000000"/>
        </w:rPr>
        <w:t>After this task was completed</w:t>
      </w:r>
      <w:r w:rsidR="00370DF3">
        <w:rPr>
          <w:color w:val="000000"/>
        </w:rPr>
        <w:t xml:space="preserve"> </w:t>
      </w:r>
      <w:r>
        <w:rPr>
          <w:color w:val="000000"/>
        </w:rPr>
        <w:t>the total sample size was reduced to 70 individual responses.</w:t>
      </w:r>
      <w:r w:rsidR="00627DB4">
        <w:rPr>
          <w:color w:val="000000"/>
        </w:rPr>
        <w:t xml:space="preserve"> Of these, 17 were provided by hard copy returns and 53 were </w:t>
      </w:r>
      <w:r w:rsidR="00352C70">
        <w:rPr>
          <w:color w:val="000000"/>
        </w:rPr>
        <w:t xml:space="preserve">submitted </w:t>
      </w:r>
      <w:r w:rsidR="00627DB4">
        <w:rPr>
          <w:color w:val="000000"/>
        </w:rPr>
        <w:t>online.</w:t>
      </w:r>
    </w:p>
    <w:p w:rsidR="00C05179" w:rsidRPr="00627DB4" w:rsidRDefault="00C05179" w:rsidP="00CB352D">
      <w:pPr>
        <w:pStyle w:val="Legal3"/>
        <w:spacing w:before="120" w:after="120"/>
        <w:ind w:left="709" w:hanging="709"/>
      </w:pPr>
      <w:r w:rsidRPr="00627DB4">
        <w:t>The sample size of 70 compares against a total of 299 responses obtained for the Housing Needs Survey completed in 2005</w:t>
      </w:r>
      <w:r w:rsidR="00352C70">
        <w:t xml:space="preserve"> (HNS2005)</w:t>
      </w:r>
      <w:r w:rsidR="00004506">
        <w:t>, which was posted to all residents</w:t>
      </w:r>
      <w:r w:rsidRPr="00627DB4">
        <w:t xml:space="preserve">. This represents a significant drop in the response rate and based on a total of </w:t>
      </w:r>
      <w:r w:rsidR="00627DB4" w:rsidRPr="00627DB4">
        <w:t>989</w:t>
      </w:r>
      <w:r w:rsidRPr="00627DB4">
        <w:t xml:space="preserve"> households on the I</w:t>
      </w:r>
      <w:r w:rsidR="00627DB4" w:rsidRPr="00627DB4">
        <w:t>OS</w:t>
      </w:r>
      <w:r w:rsidR="007D7271">
        <w:t>. It represents</w:t>
      </w:r>
      <w:r w:rsidR="00627DB4" w:rsidRPr="00627DB4">
        <w:t xml:space="preserve"> a response rate of 7.1</w:t>
      </w:r>
      <w:r w:rsidRPr="00627DB4">
        <w:t>%.</w:t>
      </w:r>
    </w:p>
    <w:p w:rsidR="00C05179" w:rsidRPr="00C05179" w:rsidRDefault="00C05179" w:rsidP="00C05179">
      <w:pPr>
        <w:pStyle w:val="Legal3"/>
        <w:spacing w:before="120" w:after="120"/>
        <w:ind w:left="709" w:hanging="709"/>
      </w:pPr>
      <w:r>
        <w:t>This low response rate does raise some concerns</w:t>
      </w:r>
      <w:r w:rsidR="000A7111">
        <w:t xml:space="preserve">. It will </w:t>
      </w:r>
      <w:r>
        <w:t>ha</w:t>
      </w:r>
      <w:r w:rsidR="000A7111">
        <w:t>ve</w:t>
      </w:r>
      <w:r>
        <w:t xml:space="preserve"> an impact on the statistical reliability of the results. Care should therefore be taken with the findings detailed below and recognition given to the low sample sizes. </w:t>
      </w:r>
    </w:p>
    <w:p w:rsidR="00C05179" w:rsidRDefault="00A260C3"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Key characteristics of the sample</w:t>
      </w:r>
    </w:p>
    <w:p w:rsidR="00C05179" w:rsidRDefault="00817598" w:rsidP="00817598">
      <w:pPr>
        <w:pStyle w:val="Legal3"/>
        <w:spacing w:before="120" w:after="120"/>
        <w:ind w:left="709" w:hanging="709"/>
      </w:pPr>
      <w:r w:rsidRPr="00D82E3F">
        <w:t xml:space="preserve">Figure </w:t>
      </w:r>
      <w:r w:rsidR="00D82E3F" w:rsidRPr="00D82E3F">
        <w:t>3</w:t>
      </w:r>
      <w:r w:rsidRPr="00D82E3F">
        <w:t xml:space="preserve"> below shows </w:t>
      </w:r>
      <w:r w:rsidRPr="00817598">
        <w:t>the breakdown of where survey respondents live on the Isles of Scilly</w:t>
      </w:r>
      <w:r>
        <w:t xml:space="preserve">. For each location the total number of responses </w:t>
      </w:r>
      <w:r w:rsidR="000A7111">
        <w:t xml:space="preserve">is shown together with </w:t>
      </w:r>
      <w:r>
        <w:t>the number of responses as a percentage of the total sample size (70).</w:t>
      </w:r>
    </w:p>
    <w:p w:rsidR="00817598" w:rsidRPr="00817598" w:rsidRDefault="00817598" w:rsidP="00817598">
      <w:pPr>
        <w:pStyle w:val="Legal3"/>
        <w:numPr>
          <w:ilvl w:val="0"/>
          <w:numId w:val="0"/>
        </w:numPr>
        <w:spacing w:before="120" w:after="120"/>
        <w:rPr>
          <w:b/>
          <w:color w:val="000000" w:themeColor="text1"/>
          <w:sz w:val="18"/>
          <w:szCs w:val="18"/>
        </w:rPr>
      </w:pPr>
      <w:r>
        <w:rPr>
          <w:b/>
          <w:color w:val="000000" w:themeColor="text1"/>
          <w:sz w:val="18"/>
          <w:szCs w:val="18"/>
        </w:rPr>
        <w:t xml:space="preserve">Figure </w:t>
      </w:r>
      <w:r w:rsidR="00D82E3F">
        <w:rPr>
          <w:b/>
          <w:color w:val="000000" w:themeColor="text1"/>
          <w:sz w:val="18"/>
          <w:szCs w:val="18"/>
        </w:rPr>
        <w:t>3</w:t>
      </w:r>
      <w:r>
        <w:rPr>
          <w:b/>
          <w:color w:val="000000" w:themeColor="text1"/>
          <w:sz w:val="18"/>
          <w:szCs w:val="18"/>
        </w:rPr>
        <w:t>: Breakdown of survey responses by location</w:t>
      </w:r>
    </w:p>
    <w:p w:rsidR="00817598" w:rsidRDefault="00817598" w:rsidP="00817598">
      <w:pPr>
        <w:pStyle w:val="Legal3"/>
        <w:numPr>
          <w:ilvl w:val="0"/>
          <w:numId w:val="0"/>
        </w:numPr>
        <w:spacing w:before="120" w:after="120"/>
        <w:ind w:left="709"/>
      </w:pPr>
      <w:r>
        <w:rPr>
          <w:noProof/>
          <w:lang w:eastAsia="en-GB"/>
        </w:rPr>
        <w:drawing>
          <wp:inline distT="0" distB="0" distL="0" distR="0">
            <wp:extent cx="4565652" cy="2743200"/>
            <wp:effectExtent l="0" t="0" r="2540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7598" w:rsidRDefault="00817598" w:rsidP="00817598">
      <w:pPr>
        <w:pStyle w:val="Legal3"/>
        <w:spacing w:before="120" w:after="120"/>
        <w:ind w:left="709" w:hanging="709"/>
      </w:pPr>
      <w:r>
        <w:t xml:space="preserve">A total of 80% (56) of the responses came from </w:t>
      </w:r>
      <w:r w:rsidR="009A2391">
        <w:t>respondent</w:t>
      </w:r>
      <w:r>
        <w:t>s living on St Mary’s, 10% (7) from St Agnes, 7.1% (5) from St Martin’s and 2.9% (2) from Bryher.</w:t>
      </w:r>
    </w:p>
    <w:p w:rsidR="00817598" w:rsidRPr="00203B1F" w:rsidRDefault="000A7111" w:rsidP="00817598">
      <w:pPr>
        <w:pStyle w:val="Legal3"/>
        <w:spacing w:before="120" w:after="120"/>
        <w:ind w:left="709" w:hanging="709"/>
      </w:pPr>
      <w:r>
        <w:t xml:space="preserve">As the island with much the largest </w:t>
      </w:r>
      <w:proofErr w:type="spellStart"/>
      <w:r>
        <w:t>popu</w:t>
      </w:r>
      <w:r w:rsidR="00203B1F" w:rsidRPr="00203B1F">
        <w:t>I</w:t>
      </w:r>
      <w:r>
        <w:t>ation</w:t>
      </w:r>
      <w:proofErr w:type="spellEnd"/>
      <w:r>
        <w:t>, i</w:t>
      </w:r>
      <w:r w:rsidR="00203B1F" w:rsidRPr="00203B1F">
        <w:t>t is unsurprising that the majority of responses came from St Mary’s</w:t>
      </w:r>
      <w:r>
        <w:t>. As the second most</w:t>
      </w:r>
      <w:r w:rsidR="00203B1F">
        <w:t xml:space="preserve"> populated island, </w:t>
      </w:r>
      <w:r>
        <w:t>Tresco had only a tiny number of responses</w:t>
      </w:r>
      <w:r w:rsidR="00267BBE">
        <w:t xml:space="preserve"> to HNS 2005. This time Tresco, which is run as a private estate with many seasonal workers, it had none.</w:t>
      </w:r>
    </w:p>
    <w:p w:rsidR="00817598" w:rsidRPr="00A260C3" w:rsidRDefault="00A260C3" w:rsidP="00817598">
      <w:pPr>
        <w:pStyle w:val="Legal3"/>
        <w:spacing w:before="120" w:after="120"/>
        <w:ind w:left="709" w:hanging="709"/>
        <w:rPr>
          <w:color w:val="FF0000"/>
        </w:rPr>
      </w:pPr>
      <w:r>
        <w:lastRenderedPageBreak/>
        <w:t xml:space="preserve">The HNS2012 asked respondents to provide details </w:t>
      </w:r>
      <w:r w:rsidR="00267BBE">
        <w:t>about</w:t>
      </w:r>
      <w:r>
        <w:t xml:space="preserve"> the ages of people living within their household. The results are shown in the below.</w:t>
      </w:r>
    </w:p>
    <w:p w:rsidR="00A260C3" w:rsidRDefault="00A260C3" w:rsidP="00A260C3">
      <w:pPr>
        <w:pStyle w:val="Legal3"/>
        <w:numPr>
          <w:ilvl w:val="0"/>
          <w:numId w:val="0"/>
        </w:numPr>
        <w:spacing w:before="120" w:after="120"/>
        <w:rPr>
          <w:b/>
          <w:color w:val="000000" w:themeColor="text1"/>
          <w:sz w:val="18"/>
          <w:szCs w:val="18"/>
        </w:rPr>
      </w:pPr>
      <w:r>
        <w:rPr>
          <w:b/>
          <w:color w:val="000000" w:themeColor="text1"/>
          <w:sz w:val="18"/>
          <w:szCs w:val="18"/>
        </w:rPr>
        <w:t>Table</w:t>
      </w:r>
      <w:r w:rsidRPr="00A260C3">
        <w:rPr>
          <w:b/>
          <w:color w:val="000000" w:themeColor="text1"/>
          <w:sz w:val="18"/>
          <w:szCs w:val="18"/>
        </w:rPr>
        <w:t xml:space="preserve"> </w:t>
      </w:r>
      <w:r w:rsidR="00D82E3F">
        <w:rPr>
          <w:b/>
          <w:color w:val="000000" w:themeColor="text1"/>
          <w:sz w:val="18"/>
          <w:szCs w:val="18"/>
        </w:rPr>
        <w:t>1</w:t>
      </w:r>
      <w:r w:rsidRPr="00A260C3">
        <w:rPr>
          <w:b/>
          <w:color w:val="000000" w:themeColor="text1"/>
          <w:sz w:val="18"/>
          <w:szCs w:val="18"/>
        </w:rPr>
        <w:t xml:space="preserve">: </w:t>
      </w:r>
      <w:r>
        <w:rPr>
          <w:b/>
          <w:color w:val="000000" w:themeColor="text1"/>
          <w:sz w:val="18"/>
          <w:szCs w:val="18"/>
        </w:rPr>
        <w:t>Ages of people living in households of HNS2012 respondents</w:t>
      </w:r>
      <w:r w:rsidR="00627DB4">
        <w:rPr>
          <w:b/>
          <w:color w:val="000000" w:themeColor="text1"/>
          <w:sz w:val="18"/>
          <w:szCs w:val="18"/>
        </w:rPr>
        <w:t xml:space="preserve"> and 2011 Census data</w:t>
      </w:r>
    </w:p>
    <w:tbl>
      <w:tblPr>
        <w:tblStyle w:val="TableGrid"/>
        <w:tblW w:w="0" w:type="auto"/>
        <w:tblLayout w:type="fixed"/>
        <w:tblLook w:val="04A0"/>
      </w:tblPr>
      <w:tblGrid>
        <w:gridCol w:w="2943"/>
        <w:gridCol w:w="851"/>
        <w:gridCol w:w="850"/>
        <w:gridCol w:w="787"/>
        <w:gridCol w:w="784"/>
        <w:gridCol w:w="784"/>
        <w:gridCol w:w="784"/>
        <w:gridCol w:w="704"/>
        <w:gridCol w:w="777"/>
      </w:tblGrid>
      <w:tr w:rsidR="00627DB4" w:rsidTr="00203B1F">
        <w:tc>
          <w:tcPr>
            <w:tcW w:w="2943" w:type="dxa"/>
            <w:shd w:val="clear" w:color="auto" w:fill="403152" w:themeFill="accent4" w:themeFillShade="80"/>
          </w:tcPr>
          <w:p w:rsidR="00A260C3" w:rsidRPr="00203B1F" w:rsidRDefault="00A260C3" w:rsidP="00A260C3">
            <w:pPr>
              <w:pStyle w:val="Legal3"/>
              <w:numPr>
                <w:ilvl w:val="0"/>
                <w:numId w:val="0"/>
              </w:numPr>
              <w:spacing w:before="120" w:after="120"/>
              <w:rPr>
                <w:b/>
                <w:color w:val="FFFFFF" w:themeColor="background1"/>
                <w:sz w:val="18"/>
                <w:szCs w:val="18"/>
              </w:rPr>
            </w:pPr>
          </w:p>
        </w:tc>
        <w:tc>
          <w:tcPr>
            <w:tcW w:w="851" w:type="dxa"/>
            <w:shd w:val="clear" w:color="auto" w:fill="403152" w:themeFill="accent4" w:themeFillShade="80"/>
          </w:tcPr>
          <w:p w:rsidR="00A260C3" w:rsidRPr="00203B1F" w:rsidRDefault="00203B1F" w:rsidP="00203B1F">
            <w:pPr>
              <w:pStyle w:val="Legal3"/>
              <w:numPr>
                <w:ilvl w:val="0"/>
                <w:numId w:val="0"/>
              </w:numPr>
              <w:spacing w:before="120" w:after="120"/>
              <w:rPr>
                <w:b/>
                <w:color w:val="FFFFFF" w:themeColor="background1"/>
                <w:sz w:val="18"/>
                <w:szCs w:val="18"/>
              </w:rPr>
            </w:pPr>
            <w:r w:rsidRPr="00203B1F">
              <w:rPr>
                <w:b/>
                <w:color w:val="FFFFFF" w:themeColor="background1"/>
                <w:sz w:val="18"/>
                <w:szCs w:val="18"/>
              </w:rPr>
              <w:t>0 -</w:t>
            </w:r>
            <w:r w:rsidR="00A260C3" w:rsidRPr="00203B1F">
              <w:rPr>
                <w:b/>
                <w:color w:val="FFFFFF" w:themeColor="background1"/>
                <w:sz w:val="18"/>
                <w:szCs w:val="18"/>
              </w:rPr>
              <w:t xml:space="preserve"> 5</w:t>
            </w:r>
          </w:p>
        </w:tc>
        <w:tc>
          <w:tcPr>
            <w:tcW w:w="850" w:type="dxa"/>
            <w:shd w:val="clear" w:color="auto" w:fill="403152" w:themeFill="accent4" w:themeFillShade="80"/>
            <w:vAlign w:val="bottom"/>
          </w:tcPr>
          <w:p w:rsidR="00A260C3" w:rsidRPr="00203B1F" w:rsidRDefault="00A260C3" w:rsidP="00203B1F">
            <w:pPr>
              <w:pStyle w:val="Legal3"/>
              <w:numPr>
                <w:ilvl w:val="0"/>
                <w:numId w:val="0"/>
              </w:numPr>
              <w:spacing w:before="120" w:after="120"/>
              <w:rPr>
                <w:b/>
                <w:color w:val="FFFFFF" w:themeColor="background1"/>
                <w:sz w:val="18"/>
                <w:szCs w:val="18"/>
              </w:rPr>
            </w:pPr>
            <w:r w:rsidRPr="00203B1F">
              <w:rPr>
                <w:b/>
                <w:color w:val="FFFFFF" w:themeColor="background1"/>
                <w:sz w:val="18"/>
                <w:szCs w:val="18"/>
              </w:rPr>
              <w:t xml:space="preserve">6 </w:t>
            </w:r>
            <w:r w:rsidR="00203B1F" w:rsidRPr="00203B1F">
              <w:rPr>
                <w:b/>
                <w:color w:val="FFFFFF" w:themeColor="background1"/>
                <w:sz w:val="18"/>
                <w:szCs w:val="18"/>
              </w:rPr>
              <w:t>-</w:t>
            </w:r>
            <w:r w:rsidRPr="00203B1F">
              <w:rPr>
                <w:b/>
                <w:color w:val="FFFFFF" w:themeColor="background1"/>
                <w:sz w:val="18"/>
                <w:szCs w:val="18"/>
              </w:rPr>
              <w:t xml:space="preserve"> 16</w:t>
            </w:r>
          </w:p>
        </w:tc>
        <w:tc>
          <w:tcPr>
            <w:tcW w:w="787" w:type="dxa"/>
            <w:shd w:val="clear" w:color="auto" w:fill="403152" w:themeFill="accent4" w:themeFillShade="80"/>
            <w:vAlign w:val="bottom"/>
          </w:tcPr>
          <w:p w:rsidR="00A260C3" w:rsidRPr="00203B1F" w:rsidRDefault="00203B1F" w:rsidP="00203B1F">
            <w:pPr>
              <w:pStyle w:val="Legal3"/>
              <w:numPr>
                <w:ilvl w:val="0"/>
                <w:numId w:val="0"/>
              </w:numPr>
              <w:spacing w:before="120" w:after="120"/>
              <w:rPr>
                <w:b/>
                <w:color w:val="FFFFFF" w:themeColor="background1"/>
                <w:sz w:val="18"/>
                <w:szCs w:val="18"/>
              </w:rPr>
            </w:pPr>
            <w:r w:rsidRPr="00203B1F">
              <w:rPr>
                <w:b/>
                <w:color w:val="FFFFFF" w:themeColor="background1"/>
                <w:sz w:val="18"/>
                <w:szCs w:val="18"/>
              </w:rPr>
              <w:t>16 -</w:t>
            </w:r>
            <w:r w:rsidR="00A260C3" w:rsidRPr="00203B1F">
              <w:rPr>
                <w:b/>
                <w:color w:val="FFFFFF" w:themeColor="background1"/>
                <w:sz w:val="18"/>
                <w:szCs w:val="18"/>
              </w:rPr>
              <w:t xml:space="preserve"> 21</w:t>
            </w:r>
          </w:p>
        </w:tc>
        <w:tc>
          <w:tcPr>
            <w:tcW w:w="784" w:type="dxa"/>
            <w:shd w:val="clear" w:color="auto" w:fill="403152" w:themeFill="accent4" w:themeFillShade="80"/>
            <w:vAlign w:val="bottom"/>
          </w:tcPr>
          <w:p w:rsidR="00A260C3" w:rsidRPr="00203B1F" w:rsidRDefault="00A260C3" w:rsidP="00203B1F">
            <w:pPr>
              <w:pStyle w:val="Legal3"/>
              <w:numPr>
                <w:ilvl w:val="0"/>
                <w:numId w:val="0"/>
              </w:numPr>
              <w:spacing w:before="120" w:after="120"/>
              <w:rPr>
                <w:b/>
                <w:color w:val="FFFFFF" w:themeColor="background1"/>
                <w:sz w:val="18"/>
                <w:szCs w:val="18"/>
              </w:rPr>
            </w:pPr>
            <w:r w:rsidRPr="00203B1F">
              <w:rPr>
                <w:b/>
                <w:color w:val="FFFFFF" w:themeColor="background1"/>
                <w:sz w:val="18"/>
                <w:szCs w:val="18"/>
              </w:rPr>
              <w:t xml:space="preserve">22 </w:t>
            </w:r>
            <w:r w:rsidR="00203B1F" w:rsidRPr="00203B1F">
              <w:rPr>
                <w:b/>
                <w:color w:val="FFFFFF" w:themeColor="background1"/>
                <w:sz w:val="18"/>
                <w:szCs w:val="18"/>
              </w:rPr>
              <w:t>-</w:t>
            </w:r>
            <w:r w:rsidRPr="00203B1F">
              <w:rPr>
                <w:b/>
                <w:color w:val="FFFFFF" w:themeColor="background1"/>
                <w:sz w:val="18"/>
                <w:szCs w:val="18"/>
              </w:rPr>
              <w:t xml:space="preserve"> 29</w:t>
            </w:r>
          </w:p>
        </w:tc>
        <w:tc>
          <w:tcPr>
            <w:tcW w:w="784" w:type="dxa"/>
            <w:shd w:val="clear" w:color="auto" w:fill="403152" w:themeFill="accent4" w:themeFillShade="80"/>
            <w:vAlign w:val="bottom"/>
          </w:tcPr>
          <w:p w:rsidR="00A260C3" w:rsidRPr="00203B1F" w:rsidRDefault="00A260C3" w:rsidP="00203B1F">
            <w:pPr>
              <w:pStyle w:val="Legal3"/>
              <w:numPr>
                <w:ilvl w:val="0"/>
                <w:numId w:val="0"/>
              </w:numPr>
              <w:spacing w:before="120" w:after="120"/>
              <w:rPr>
                <w:b/>
                <w:color w:val="FFFFFF" w:themeColor="background1"/>
                <w:sz w:val="18"/>
                <w:szCs w:val="18"/>
              </w:rPr>
            </w:pPr>
            <w:r w:rsidRPr="00203B1F">
              <w:rPr>
                <w:b/>
                <w:color w:val="FFFFFF" w:themeColor="background1"/>
                <w:sz w:val="18"/>
                <w:szCs w:val="18"/>
              </w:rPr>
              <w:t xml:space="preserve">30 </w:t>
            </w:r>
            <w:r w:rsidR="00203B1F" w:rsidRPr="00203B1F">
              <w:rPr>
                <w:b/>
                <w:color w:val="FFFFFF" w:themeColor="background1"/>
                <w:sz w:val="18"/>
                <w:szCs w:val="18"/>
              </w:rPr>
              <w:t>-</w:t>
            </w:r>
            <w:r w:rsidRPr="00203B1F">
              <w:rPr>
                <w:b/>
                <w:color w:val="FFFFFF" w:themeColor="background1"/>
                <w:sz w:val="18"/>
                <w:szCs w:val="18"/>
              </w:rPr>
              <w:t xml:space="preserve"> 59</w:t>
            </w:r>
          </w:p>
        </w:tc>
        <w:tc>
          <w:tcPr>
            <w:tcW w:w="784" w:type="dxa"/>
            <w:shd w:val="clear" w:color="auto" w:fill="403152" w:themeFill="accent4" w:themeFillShade="80"/>
            <w:vAlign w:val="bottom"/>
          </w:tcPr>
          <w:p w:rsidR="00A260C3" w:rsidRPr="00203B1F" w:rsidRDefault="00A260C3" w:rsidP="00203B1F">
            <w:pPr>
              <w:pStyle w:val="Legal3"/>
              <w:numPr>
                <w:ilvl w:val="0"/>
                <w:numId w:val="0"/>
              </w:numPr>
              <w:spacing w:before="120" w:after="120"/>
              <w:rPr>
                <w:b/>
                <w:color w:val="FFFFFF" w:themeColor="background1"/>
                <w:sz w:val="18"/>
                <w:szCs w:val="18"/>
              </w:rPr>
            </w:pPr>
            <w:r w:rsidRPr="00203B1F">
              <w:rPr>
                <w:b/>
                <w:color w:val="FFFFFF" w:themeColor="background1"/>
                <w:sz w:val="18"/>
                <w:szCs w:val="18"/>
              </w:rPr>
              <w:t xml:space="preserve">60 </w:t>
            </w:r>
            <w:r w:rsidR="00203B1F" w:rsidRPr="00203B1F">
              <w:rPr>
                <w:b/>
                <w:color w:val="FFFFFF" w:themeColor="background1"/>
                <w:sz w:val="18"/>
                <w:szCs w:val="18"/>
              </w:rPr>
              <w:t>-</w:t>
            </w:r>
            <w:r w:rsidRPr="00203B1F">
              <w:rPr>
                <w:b/>
                <w:color w:val="FFFFFF" w:themeColor="background1"/>
                <w:sz w:val="18"/>
                <w:szCs w:val="18"/>
              </w:rPr>
              <w:t xml:space="preserve"> 74</w:t>
            </w:r>
          </w:p>
        </w:tc>
        <w:tc>
          <w:tcPr>
            <w:tcW w:w="704" w:type="dxa"/>
            <w:shd w:val="clear" w:color="auto" w:fill="403152" w:themeFill="accent4" w:themeFillShade="80"/>
            <w:vAlign w:val="bottom"/>
          </w:tcPr>
          <w:p w:rsidR="00A260C3" w:rsidRPr="00203B1F" w:rsidRDefault="00203B1F" w:rsidP="00A260C3">
            <w:pPr>
              <w:pStyle w:val="Legal3"/>
              <w:numPr>
                <w:ilvl w:val="0"/>
                <w:numId w:val="0"/>
              </w:numPr>
              <w:spacing w:before="120" w:after="120"/>
              <w:rPr>
                <w:b/>
                <w:color w:val="FFFFFF" w:themeColor="background1"/>
                <w:sz w:val="18"/>
                <w:szCs w:val="18"/>
              </w:rPr>
            </w:pPr>
            <w:r>
              <w:rPr>
                <w:b/>
                <w:color w:val="FFFFFF" w:themeColor="background1"/>
                <w:sz w:val="18"/>
                <w:szCs w:val="18"/>
              </w:rPr>
              <w:t>7</w:t>
            </w:r>
            <w:r w:rsidR="00A260C3" w:rsidRPr="00203B1F">
              <w:rPr>
                <w:b/>
                <w:color w:val="FFFFFF" w:themeColor="background1"/>
                <w:sz w:val="18"/>
                <w:szCs w:val="18"/>
              </w:rPr>
              <w:t>5+</w:t>
            </w:r>
          </w:p>
        </w:tc>
        <w:tc>
          <w:tcPr>
            <w:tcW w:w="777" w:type="dxa"/>
            <w:shd w:val="clear" w:color="auto" w:fill="403152" w:themeFill="accent4" w:themeFillShade="80"/>
          </w:tcPr>
          <w:p w:rsidR="00A260C3" w:rsidRPr="00A260C3" w:rsidRDefault="00A260C3" w:rsidP="00A260C3">
            <w:pPr>
              <w:pStyle w:val="Legal3"/>
              <w:numPr>
                <w:ilvl w:val="0"/>
                <w:numId w:val="0"/>
              </w:numPr>
              <w:spacing w:before="120" w:after="120"/>
              <w:rPr>
                <w:b/>
                <w:color w:val="FFFFFF" w:themeColor="background1"/>
                <w:sz w:val="20"/>
                <w:szCs w:val="20"/>
              </w:rPr>
            </w:pPr>
            <w:r w:rsidRPr="00A260C3">
              <w:rPr>
                <w:b/>
                <w:color w:val="FFFFFF" w:themeColor="background1"/>
                <w:sz w:val="20"/>
                <w:szCs w:val="20"/>
              </w:rPr>
              <w:t>Total</w:t>
            </w:r>
          </w:p>
        </w:tc>
      </w:tr>
      <w:tr w:rsidR="00627DB4" w:rsidTr="00203B1F">
        <w:tc>
          <w:tcPr>
            <w:tcW w:w="2943" w:type="dxa"/>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Male</w:t>
            </w:r>
          </w:p>
        </w:tc>
        <w:tc>
          <w:tcPr>
            <w:tcW w:w="851"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13</w:t>
            </w:r>
          </w:p>
        </w:tc>
        <w:tc>
          <w:tcPr>
            <w:tcW w:w="850"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13</w:t>
            </w:r>
          </w:p>
        </w:tc>
        <w:tc>
          <w:tcPr>
            <w:tcW w:w="787"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3</w:t>
            </w:r>
          </w:p>
        </w:tc>
        <w:tc>
          <w:tcPr>
            <w:tcW w:w="78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12</w:t>
            </w:r>
          </w:p>
        </w:tc>
        <w:tc>
          <w:tcPr>
            <w:tcW w:w="78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37</w:t>
            </w:r>
          </w:p>
        </w:tc>
        <w:tc>
          <w:tcPr>
            <w:tcW w:w="78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13</w:t>
            </w:r>
          </w:p>
        </w:tc>
        <w:tc>
          <w:tcPr>
            <w:tcW w:w="70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5</w:t>
            </w:r>
          </w:p>
        </w:tc>
        <w:tc>
          <w:tcPr>
            <w:tcW w:w="777"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96</w:t>
            </w:r>
          </w:p>
        </w:tc>
      </w:tr>
      <w:tr w:rsidR="00627DB4" w:rsidTr="00203B1F">
        <w:tc>
          <w:tcPr>
            <w:tcW w:w="2943" w:type="dxa"/>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Female</w:t>
            </w:r>
          </w:p>
        </w:tc>
        <w:tc>
          <w:tcPr>
            <w:tcW w:w="851"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9</w:t>
            </w:r>
          </w:p>
        </w:tc>
        <w:tc>
          <w:tcPr>
            <w:tcW w:w="850"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9</w:t>
            </w:r>
          </w:p>
        </w:tc>
        <w:tc>
          <w:tcPr>
            <w:tcW w:w="787"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7</w:t>
            </w:r>
          </w:p>
        </w:tc>
        <w:tc>
          <w:tcPr>
            <w:tcW w:w="78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13</w:t>
            </w:r>
          </w:p>
        </w:tc>
        <w:tc>
          <w:tcPr>
            <w:tcW w:w="78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45</w:t>
            </w:r>
          </w:p>
        </w:tc>
        <w:tc>
          <w:tcPr>
            <w:tcW w:w="78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6</w:t>
            </w:r>
          </w:p>
        </w:tc>
        <w:tc>
          <w:tcPr>
            <w:tcW w:w="704" w:type="dxa"/>
          </w:tcPr>
          <w:p w:rsidR="00A260C3" w:rsidRPr="00627DB4" w:rsidRDefault="00A260C3" w:rsidP="00A260C3">
            <w:pPr>
              <w:pStyle w:val="Legal3"/>
              <w:numPr>
                <w:ilvl w:val="0"/>
                <w:numId w:val="0"/>
              </w:numPr>
              <w:spacing w:before="120" w:after="120"/>
              <w:rPr>
                <w:color w:val="000000" w:themeColor="text1"/>
                <w:sz w:val="20"/>
                <w:szCs w:val="20"/>
              </w:rPr>
            </w:pPr>
            <w:r w:rsidRPr="00627DB4">
              <w:rPr>
                <w:color w:val="000000" w:themeColor="text1"/>
                <w:sz w:val="20"/>
                <w:szCs w:val="20"/>
              </w:rPr>
              <w:t>2</w:t>
            </w:r>
          </w:p>
        </w:tc>
        <w:tc>
          <w:tcPr>
            <w:tcW w:w="777"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91</w:t>
            </w:r>
          </w:p>
        </w:tc>
      </w:tr>
      <w:tr w:rsidR="00627DB4" w:rsidTr="00203B1F">
        <w:tc>
          <w:tcPr>
            <w:tcW w:w="2943"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Total</w:t>
            </w:r>
          </w:p>
        </w:tc>
        <w:tc>
          <w:tcPr>
            <w:tcW w:w="851"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22</w:t>
            </w:r>
          </w:p>
        </w:tc>
        <w:tc>
          <w:tcPr>
            <w:tcW w:w="850"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22</w:t>
            </w:r>
          </w:p>
        </w:tc>
        <w:tc>
          <w:tcPr>
            <w:tcW w:w="787"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10</w:t>
            </w:r>
          </w:p>
        </w:tc>
        <w:tc>
          <w:tcPr>
            <w:tcW w:w="784"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25</w:t>
            </w:r>
          </w:p>
        </w:tc>
        <w:tc>
          <w:tcPr>
            <w:tcW w:w="784"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82</w:t>
            </w:r>
          </w:p>
        </w:tc>
        <w:tc>
          <w:tcPr>
            <w:tcW w:w="784"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19</w:t>
            </w:r>
          </w:p>
        </w:tc>
        <w:tc>
          <w:tcPr>
            <w:tcW w:w="704"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7</w:t>
            </w:r>
          </w:p>
        </w:tc>
        <w:tc>
          <w:tcPr>
            <w:tcW w:w="777" w:type="dxa"/>
            <w:shd w:val="clear" w:color="auto" w:fill="E5DFEC" w:themeFill="accent4" w:themeFillTint="33"/>
          </w:tcPr>
          <w:p w:rsidR="00A260C3" w:rsidRPr="00A260C3" w:rsidRDefault="00A260C3" w:rsidP="00A260C3">
            <w:pPr>
              <w:pStyle w:val="Legal3"/>
              <w:numPr>
                <w:ilvl w:val="0"/>
                <w:numId w:val="0"/>
              </w:numPr>
              <w:spacing w:before="120" w:after="120"/>
              <w:rPr>
                <w:b/>
                <w:color w:val="000000" w:themeColor="text1"/>
                <w:sz w:val="20"/>
                <w:szCs w:val="20"/>
              </w:rPr>
            </w:pPr>
            <w:r>
              <w:rPr>
                <w:b/>
                <w:color w:val="000000" w:themeColor="text1"/>
                <w:sz w:val="20"/>
                <w:szCs w:val="20"/>
              </w:rPr>
              <w:t>187</w:t>
            </w:r>
          </w:p>
        </w:tc>
      </w:tr>
      <w:tr w:rsidR="00627DB4" w:rsidTr="00203B1F">
        <w:tc>
          <w:tcPr>
            <w:tcW w:w="2943" w:type="dxa"/>
            <w:shd w:val="clear" w:color="auto" w:fill="auto"/>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Total as % of all responses</w:t>
            </w:r>
          </w:p>
        </w:tc>
        <w:tc>
          <w:tcPr>
            <w:tcW w:w="851"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11.8%</w:t>
            </w:r>
          </w:p>
        </w:tc>
        <w:tc>
          <w:tcPr>
            <w:tcW w:w="850"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11.8%</w:t>
            </w:r>
          </w:p>
        </w:tc>
        <w:tc>
          <w:tcPr>
            <w:tcW w:w="787"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5.3%</w:t>
            </w:r>
          </w:p>
        </w:tc>
        <w:tc>
          <w:tcPr>
            <w:tcW w:w="784"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13.4%</w:t>
            </w:r>
          </w:p>
        </w:tc>
        <w:tc>
          <w:tcPr>
            <w:tcW w:w="784"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43.9%</w:t>
            </w:r>
          </w:p>
        </w:tc>
        <w:tc>
          <w:tcPr>
            <w:tcW w:w="784"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10.2%</w:t>
            </w:r>
          </w:p>
        </w:tc>
        <w:tc>
          <w:tcPr>
            <w:tcW w:w="704" w:type="dxa"/>
            <w:shd w:val="clear" w:color="auto" w:fill="auto"/>
          </w:tcPr>
          <w:p w:rsidR="00627DB4" w:rsidRPr="00627DB4" w:rsidRDefault="00627DB4" w:rsidP="00627DB4">
            <w:pPr>
              <w:pStyle w:val="Legal3"/>
              <w:numPr>
                <w:ilvl w:val="0"/>
                <w:numId w:val="0"/>
              </w:numPr>
              <w:spacing w:before="120" w:after="120"/>
              <w:rPr>
                <w:color w:val="000000" w:themeColor="text1"/>
                <w:sz w:val="20"/>
                <w:szCs w:val="20"/>
              </w:rPr>
            </w:pPr>
            <w:r w:rsidRPr="00627DB4">
              <w:rPr>
                <w:color w:val="000000" w:themeColor="text1"/>
                <w:sz w:val="20"/>
                <w:szCs w:val="20"/>
              </w:rPr>
              <w:t>3.7%</w:t>
            </w:r>
          </w:p>
        </w:tc>
        <w:tc>
          <w:tcPr>
            <w:tcW w:w="777" w:type="dxa"/>
            <w:shd w:val="clear" w:color="auto" w:fill="auto"/>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w:t>
            </w:r>
          </w:p>
        </w:tc>
      </w:tr>
      <w:tr w:rsidR="00627DB4" w:rsidTr="00203B1F">
        <w:tc>
          <w:tcPr>
            <w:tcW w:w="2943"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2011 Census</w:t>
            </w:r>
          </w:p>
        </w:tc>
        <w:tc>
          <w:tcPr>
            <w:tcW w:w="851"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4.5%</w:t>
            </w:r>
          </w:p>
        </w:tc>
        <w:tc>
          <w:tcPr>
            <w:tcW w:w="850"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5.1%</w:t>
            </w:r>
          </w:p>
        </w:tc>
        <w:tc>
          <w:tcPr>
            <w:tcW w:w="787"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4.5%</w:t>
            </w:r>
          </w:p>
        </w:tc>
        <w:tc>
          <w:tcPr>
            <w:tcW w:w="784"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9.1%</w:t>
            </w:r>
          </w:p>
        </w:tc>
        <w:tc>
          <w:tcPr>
            <w:tcW w:w="784"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40.9%</w:t>
            </w:r>
          </w:p>
        </w:tc>
        <w:tc>
          <w:tcPr>
            <w:tcW w:w="784"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22.7%</w:t>
            </w:r>
          </w:p>
        </w:tc>
        <w:tc>
          <w:tcPr>
            <w:tcW w:w="704"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9.1%</w:t>
            </w:r>
          </w:p>
        </w:tc>
        <w:tc>
          <w:tcPr>
            <w:tcW w:w="777" w:type="dxa"/>
            <w:shd w:val="clear" w:color="auto" w:fill="E5DFEC" w:themeFill="accent4" w:themeFillTint="33"/>
          </w:tcPr>
          <w:p w:rsidR="00627DB4" w:rsidRDefault="00627DB4" w:rsidP="00A260C3">
            <w:pPr>
              <w:pStyle w:val="Legal3"/>
              <w:numPr>
                <w:ilvl w:val="0"/>
                <w:numId w:val="0"/>
              </w:numPr>
              <w:spacing w:before="120" w:after="120"/>
              <w:rPr>
                <w:b/>
                <w:color w:val="000000" w:themeColor="text1"/>
                <w:sz w:val="20"/>
                <w:szCs w:val="20"/>
              </w:rPr>
            </w:pPr>
            <w:r>
              <w:rPr>
                <w:b/>
                <w:color w:val="000000" w:themeColor="text1"/>
                <w:sz w:val="20"/>
                <w:szCs w:val="20"/>
              </w:rPr>
              <w:t>-</w:t>
            </w:r>
          </w:p>
        </w:tc>
      </w:tr>
    </w:tbl>
    <w:p w:rsidR="00A260C3" w:rsidRPr="00C746D7" w:rsidRDefault="00C746D7" w:rsidP="00817598">
      <w:pPr>
        <w:pStyle w:val="Legal3"/>
        <w:spacing w:before="120" w:after="120"/>
        <w:ind w:left="709" w:hanging="709"/>
        <w:rPr>
          <w:color w:val="FF0000"/>
        </w:rPr>
      </w:pPr>
      <w:r>
        <w:t>This shows that the HNS2012 covers a total population of 187 residents living on the islands. This is around 8.5% of the total population found in the 2011 Census of 2,203.</w:t>
      </w:r>
    </w:p>
    <w:p w:rsidR="00203B1F" w:rsidRPr="00D82E3F" w:rsidRDefault="00203B1F" w:rsidP="00817598">
      <w:pPr>
        <w:pStyle w:val="Legal3"/>
        <w:spacing w:before="120" w:after="120"/>
        <w:ind w:left="709" w:hanging="709"/>
      </w:pPr>
      <w:r w:rsidRPr="00D82E3F">
        <w:t xml:space="preserve">Table </w:t>
      </w:r>
      <w:r w:rsidR="00D82E3F" w:rsidRPr="00D82E3F">
        <w:t>1</w:t>
      </w:r>
      <w:r w:rsidRPr="00D82E3F">
        <w:t xml:space="preserve"> above includes the population distribution as found in the 2011 Census. Although there are some differences with the response rate to the HNS2012 (e.g. the young appear to be over represented and the 75+ age group under represented), the profile of who is represented by this survey does appear to broadly match the population distribution found in the census. </w:t>
      </w:r>
    </w:p>
    <w:p w:rsidR="00C746D7" w:rsidRPr="00C746D7" w:rsidRDefault="00C746D7" w:rsidP="00817598">
      <w:pPr>
        <w:pStyle w:val="Legal3"/>
        <w:spacing w:before="120" w:after="120"/>
        <w:ind w:left="709" w:hanging="709"/>
        <w:rPr>
          <w:color w:val="FF0000"/>
        </w:rPr>
      </w:pPr>
      <w:r w:rsidRPr="00D82E3F">
        <w:t xml:space="preserve">As can be seen Figure </w:t>
      </w:r>
      <w:r w:rsidR="00D82E3F" w:rsidRPr="00D82E3F">
        <w:t>4</w:t>
      </w:r>
      <w:r w:rsidRPr="00D82E3F">
        <w:t xml:space="preserve"> below </w:t>
      </w:r>
      <w:r>
        <w:t>7.7% of respondents stated that a member of their household was disabled.</w:t>
      </w:r>
    </w:p>
    <w:p w:rsidR="00C746D7" w:rsidRPr="001A5810" w:rsidRDefault="00D82E3F" w:rsidP="00C746D7">
      <w:pPr>
        <w:pStyle w:val="Legal3"/>
        <w:numPr>
          <w:ilvl w:val="0"/>
          <w:numId w:val="0"/>
        </w:numPr>
        <w:spacing w:before="120" w:after="120"/>
        <w:rPr>
          <w:b/>
          <w:sz w:val="18"/>
          <w:szCs w:val="18"/>
        </w:rPr>
      </w:pPr>
      <w:r>
        <w:rPr>
          <w:b/>
          <w:sz w:val="18"/>
          <w:szCs w:val="18"/>
        </w:rPr>
        <w:t>Figure 4</w:t>
      </w:r>
      <w:r w:rsidR="00C746D7" w:rsidRPr="001A5810">
        <w:rPr>
          <w:b/>
          <w:sz w:val="18"/>
          <w:szCs w:val="18"/>
        </w:rPr>
        <w:t>: Is anyone in the household disabled?</w:t>
      </w:r>
    </w:p>
    <w:p w:rsidR="00C746D7" w:rsidRPr="00C746D7" w:rsidRDefault="00C746D7" w:rsidP="00C746D7">
      <w:pPr>
        <w:pStyle w:val="Legal3"/>
        <w:numPr>
          <w:ilvl w:val="0"/>
          <w:numId w:val="0"/>
        </w:numPr>
        <w:spacing w:before="120" w:after="120"/>
        <w:ind w:left="709"/>
        <w:rPr>
          <w:color w:val="FF0000"/>
        </w:rPr>
      </w:pPr>
      <w:r>
        <w:rPr>
          <w:noProof/>
          <w:lang w:eastAsia="en-GB"/>
        </w:rPr>
        <w:drawing>
          <wp:inline distT="0" distB="0" distL="0" distR="0">
            <wp:extent cx="4572000" cy="1803400"/>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746D7" w:rsidRPr="00C746D7" w:rsidRDefault="00203B1F" w:rsidP="00817598">
      <w:pPr>
        <w:pStyle w:val="Legal3"/>
        <w:spacing w:before="120" w:after="120"/>
        <w:ind w:left="709" w:hanging="709"/>
        <w:rPr>
          <w:color w:val="FF0000"/>
        </w:rPr>
      </w:pPr>
      <w:r>
        <w:t>Unfortunately no external data was available on the number of disabled people living on IOS which could be used to validate this information.</w:t>
      </w:r>
    </w:p>
    <w:p w:rsidR="00C746D7" w:rsidRDefault="00C746D7"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Current property details</w:t>
      </w:r>
    </w:p>
    <w:p w:rsidR="00C746D7" w:rsidRDefault="004A7546" w:rsidP="004A7546">
      <w:pPr>
        <w:pStyle w:val="Legal3"/>
        <w:spacing w:before="120" w:after="120"/>
        <w:ind w:left="709" w:hanging="709"/>
      </w:pPr>
      <w:r>
        <w:t xml:space="preserve">The HNS2012 asked respondents to provide details on their current tenure. The results are </w:t>
      </w:r>
      <w:r w:rsidRPr="00D82E3F">
        <w:t xml:space="preserve">presented in Figure </w:t>
      </w:r>
      <w:r w:rsidR="00D82E3F" w:rsidRPr="00D82E3F">
        <w:t>5</w:t>
      </w:r>
      <w:r w:rsidRPr="00D82E3F">
        <w:t xml:space="preserve"> below.</w:t>
      </w:r>
    </w:p>
    <w:p w:rsidR="00267BBE" w:rsidRDefault="00267BBE" w:rsidP="004A7546">
      <w:pPr>
        <w:pStyle w:val="Legal3"/>
        <w:numPr>
          <w:ilvl w:val="0"/>
          <w:numId w:val="0"/>
        </w:numPr>
        <w:spacing w:before="120" w:after="120"/>
        <w:rPr>
          <w:b/>
          <w:sz w:val="18"/>
          <w:szCs w:val="18"/>
        </w:rPr>
      </w:pPr>
    </w:p>
    <w:p w:rsidR="00267BBE" w:rsidRDefault="00267BBE" w:rsidP="004A7546">
      <w:pPr>
        <w:pStyle w:val="Legal3"/>
        <w:numPr>
          <w:ilvl w:val="0"/>
          <w:numId w:val="0"/>
        </w:numPr>
        <w:spacing w:before="120" w:after="120"/>
        <w:rPr>
          <w:b/>
          <w:sz w:val="18"/>
          <w:szCs w:val="18"/>
        </w:rPr>
      </w:pPr>
    </w:p>
    <w:p w:rsidR="00267BBE" w:rsidRDefault="00267BBE" w:rsidP="004A7546">
      <w:pPr>
        <w:pStyle w:val="Legal3"/>
        <w:numPr>
          <w:ilvl w:val="0"/>
          <w:numId w:val="0"/>
        </w:numPr>
        <w:spacing w:before="120" w:after="120"/>
        <w:rPr>
          <w:b/>
          <w:sz w:val="18"/>
          <w:szCs w:val="18"/>
        </w:rPr>
      </w:pPr>
    </w:p>
    <w:p w:rsidR="00267BBE" w:rsidRDefault="00267BBE" w:rsidP="004A7546">
      <w:pPr>
        <w:pStyle w:val="Legal3"/>
        <w:numPr>
          <w:ilvl w:val="0"/>
          <w:numId w:val="0"/>
        </w:numPr>
        <w:spacing w:before="120" w:after="120"/>
        <w:rPr>
          <w:b/>
          <w:sz w:val="18"/>
          <w:szCs w:val="18"/>
        </w:rPr>
      </w:pPr>
    </w:p>
    <w:p w:rsidR="00267BBE" w:rsidRDefault="00267BBE" w:rsidP="004A7546">
      <w:pPr>
        <w:pStyle w:val="Legal3"/>
        <w:numPr>
          <w:ilvl w:val="0"/>
          <w:numId w:val="0"/>
        </w:numPr>
        <w:spacing w:before="120" w:after="120"/>
        <w:rPr>
          <w:b/>
          <w:sz w:val="18"/>
          <w:szCs w:val="18"/>
        </w:rPr>
      </w:pPr>
    </w:p>
    <w:p w:rsidR="004A7546" w:rsidRPr="004E5FBA" w:rsidRDefault="004A7546" w:rsidP="004A7546">
      <w:pPr>
        <w:pStyle w:val="Legal3"/>
        <w:numPr>
          <w:ilvl w:val="0"/>
          <w:numId w:val="0"/>
        </w:numPr>
        <w:spacing w:before="120" w:after="120"/>
        <w:rPr>
          <w:b/>
          <w:sz w:val="18"/>
          <w:szCs w:val="18"/>
        </w:rPr>
      </w:pPr>
      <w:r w:rsidRPr="004E5FBA">
        <w:rPr>
          <w:b/>
          <w:sz w:val="18"/>
          <w:szCs w:val="18"/>
        </w:rPr>
        <w:lastRenderedPageBreak/>
        <w:t xml:space="preserve">Figure </w:t>
      </w:r>
      <w:r w:rsidR="00D82E3F">
        <w:rPr>
          <w:b/>
          <w:sz w:val="18"/>
          <w:szCs w:val="18"/>
        </w:rPr>
        <w:t>5</w:t>
      </w:r>
      <w:r w:rsidRPr="004E5FBA">
        <w:rPr>
          <w:b/>
          <w:sz w:val="18"/>
          <w:szCs w:val="18"/>
        </w:rPr>
        <w:t>: What best describes your current type of accommodation?</w:t>
      </w:r>
    </w:p>
    <w:p w:rsidR="004A7546" w:rsidRDefault="00214469" w:rsidP="00214469">
      <w:pPr>
        <w:pStyle w:val="Legal3"/>
        <w:numPr>
          <w:ilvl w:val="0"/>
          <w:numId w:val="0"/>
        </w:numPr>
        <w:spacing w:before="120" w:after="120"/>
      </w:pPr>
      <w:r w:rsidRPr="00214469">
        <w:rPr>
          <w:noProof/>
          <w:lang w:eastAsia="en-GB"/>
        </w:rPr>
        <w:drawing>
          <wp:inline distT="0" distB="0" distL="0" distR="0">
            <wp:extent cx="5676900" cy="2755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76900" cy="2755900"/>
                    </a:xfrm>
                    <a:prstGeom prst="rect">
                      <a:avLst/>
                    </a:prstGeom>
                    <a:noFill/>
                    <a:ln>
                      <a:noFill/>
                    </a:ln>
                  </pic:spPr>
                </pic:pic>
              </a:graphicData>
            </a:graphic>
          </wp:inline>
        </w:drawing>
      </w:r>
    </w:p>
    <w:p w:rsidR="004A7546" w:rsidRDefault="004A7546" w:rsidP="004A7546">
      <w:pPr>
        <w:pStyle w:val="Legal3"/>
        <w:spacing w:before="120" w:after="120"/>
        <w:ind w:left="709" w:hanging="709"/>
      </w:pPr>
      <w:r>
        <w:t>Nearly 15% of respondents either rent their current property from the Duchy or a housing association. 13.4% of respondents own their property outright and 11.9% either rent from a private landlord or are still living with their parents.</w:t>
      </w:r>
    </w:p>
    <w:p w:rsidR="004A7546" w:rsidRDefault="004A7546" w:rsidP="004A7546">
      <w:pPr>
        <w:pStyle w:val="Legal3"/>
        <w:spacing w:before="120" w:after="120"/>
        <w:ind w:left="709" w:hanging="709"/>
      </w:pPr>
      <w:r>
        <w:t xml:space="preserve">Only 4.5% of respondents currently rent their property from the CIOS. </w:t>
      </w:r>
    </w:p>
    <w:p w:rsidR="004A7546" w:rsidRDefault="004A7546" w:rsidP="004A7546">
      <w:pPr>
        <w:pStyle w:val="Legal3"/>
        <w:spacing w:before="120" w:after="120"/>
        <w:ind w:left="709" w:hanging="709"/>
      </w:pPr>
      <w:r>
        <w:t>A number of respondents also live in accommodation which has some link to their employment e.g.: 6.0% of respondents live in accommodation that is provided with their job, 1.5% live in accommodation that also houses a business and 3.0% live in a Duchy farm leasehold property.</w:t>
      </w:r>
    </w:p>
    <w:p w:rsidR="004A7546" w:rsidRPr="00D123CD" w:rsidRDefault="00D123CD" w:rsidP="004A7546">
      <w:pPr>
        <w:pStyle w:val="Legal3"/>
        <w:spacing w:before="120" w:after="120"/>
        <w:ind w:left="709" w:hanging="709"/>
      </w:pPr>
      <w:r w:rsidRPr="00D123CD">
        <w:t xml:space="preserve">This profile varies significantly from the HNS2005. In that exercise, nearly 45% of responses came from people who owned their house outright and 16% came from those who lived in the private rented sector. </w:t>
      </w:r>
      <w:r>
        <w:t xml:space="preserve">These response rates have switched </w:t>
      </w:r>
      <w:r w:rsidR="00267BBE">
        <w:t>considerably</w:t>
      </w:r>
      <w:r>
        <w:t xml:space="preserve"> with the HNS2012 showing a far greater representation from the social housing sector (council and housing association residents) and from those whose properties are in some way linked to the Duchy.</w:t>
      </w:r>
      <w:r w:rsidR="00212993">
        <w:t xml:space="preserve"> This may reflect that those who own their own property consider that they are adequately housed and did not see the need to respond to the survey.</w:t>
      </w:r>
    </w:p>
    <w:p w:rsidR="004A7546" w:rsidRDefault="004A7546" w:rsidP="004A7546">
      <w:pPr>
        <w:pStyle w:val="Legal3"/>
        <w:spacing w:before="120" w:after="120"/>
        <w:ind w:left="709" w:hanging="709"/>
      </w:pPr>
      <w:r w:rsidRPr="004A7546">
        <w:t xml:space="preserve">In terms of property types, </w:t>
      </w:r>
      <w:r w:rsidR="004E5FBA">
        <w:t xml:space="preserve">27.9% of respondents currently live in a flat and 26.5% live in a detached house. Full details can </w:t>
      </w:r>
      <w:r w:rsidR="004E5FBA" w:rsidRPr="00D82E3F">
        <w:t xml:space="preserve">be found in Figure </w:t>
      </w:r>
      <w:r w:rsidR="00D82E3F" w:rsidRPr="00D82E3F">
        <w:t>6</w:t>
      </w:r>
      <w:r w:rsidR="004E5FBA" w:rsidRPr="00D82E3F">
        <w:t xml:space="preserve"> below.</w:t>
      </w:r>
    </w:p>
    <w:p w:rsidR="004E5FBA" w:rsidRPr="004E5FBA" w:rsidRDefault="00D82E3F" w:rsidP="004E5FBA">
      <w:pPr>
        <w:pStyle w:val="Legal3"/>
        <w:numPr>
          <w:ilvl w:val="0"/>
          <w:numId w:val="0"/>
        </w:numPr>
        <w:spacing w:before="120" w:after="120"/>
        <w:rPr>
          <w:b/>
          <w:sz w:val="18"/>
          <w:szCs w:val="18"/>
        </w:rPr>
      </w:pPr>
      <w:r>
        <w:rPr>
          <w:b/>
          <w:sz w:val="18"/>
          <w:szCs w:val="18"/>
        </w:rPr>
        <w:t>Figure 6</w:t>
      </w:r>
      <w:r w:rsidR="004E5FBA" w:rsidRPr="004E5FBA">
        <w:rPr>
          <w:b/>
          <w:sz w:val="18"/>
          <w:szCs w:val="18"/>
        </w:rPr>
        <w:t>: Type of accommodation</w:t>
      </w:r>
    </w:p>
    <w:p w:rsidR="004A7546" w:rsidRDefault="004A7546" w:rsidP="004A7546">
      <w:pPr>
        <w:pStyle w:val="Legal3"/>
        <w:numPr>
          <w:ilvl w:val="0"/>
          <w:numId w:val="0"/>
        </w:numPr>
        <w:spacing w:before="120" w:after="120"/>
        <w:ind w:left="709"/>
        <w:rPr>
          <w:color w:val="FF0000"/>
        </w:rPr>
      </w:pPr>
      <w:r>
        <w:rPr>
          <w:noProof/>
          <w:lang w:eastAsia="en-GB"/>
        </w:rPr>
        <w:lastRenderedPageBreak/>
        <w:drawing>
          <wp:inline distT="0" distB="0" distL="0" distR="0">
            <wp:extent cx="4572000" cy="25400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A7546" w:rsidRPr="00D123CD" w:rsidRDefault="00D123CD" w:rsidP="004A7546">
      <w:pPr>
        <w:pStyle w:val="Legal3"/>
        <w:spacing w:before="120" w:after="120"/>
        <w:ind w:left="709" w:hanging="709"/>
      </w:pPr>
      <w:r>
        <w:t>In the HNS2005 nearly 30% of responses came from people living in detached houses. The response rate to this exercise is fairly comparable.  The most significant change is in the number of responses from people living in flats, in 2005 only 15.7% came from this type of accommodation and this has increased up 27.9% of respondents in this exercise.</w:t>
      </w:r>
    </w:p>
    <w:p w:rsidR="004E5FBA" w:rsidRDefault="004E5FBA"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Permanent residency and length of time on the IOS</w:t>
      </w:r>
    </w:p>
    <w:p w:rsidR="004E5FBA" w:rsidRDefault="004E5FBA" w:rsidP="004E5FBA">
      <w:pPr>
        <w:pStyle w:val="Legal3"/>
        <w:spacing w:before="120" w:after="120"/>
        <w:ind w:left="709" w:hanging="709"/>
        <w:rPr>
          <w:color w:val="000000"/>
        </w:rPr>
      </w:pPr>
      <w:r w:rsidRPr="004E5FBA">
        <w:rPr>
          <w:color w:val="000000"/>
        </w:rPr>
        <w:t xml:space="preserve">As can be </w:t>
      </w:r>
      <w:r w:rsidRPr="00D82E3F">
        <w:t xml:space="preserve">seen in </w:t>
      </w:r>
      <w:r w:rsidR="00D82E3F" w:rsidRPr="00D82E3F">
        <w:t>Figure 7</w:t>
      </w:r>
      <w:r w:rsidRPr="00D82E3F">
        <w:t xml:space="preserve"> below, </w:t>
      </w:r>
      <w:r>
        <w:rPr>
          <w:color w:val="000000"/>
        </w:rPr>
        <w:t xml:space="preserve">95.2% of respondents stated that the IOS was their permanent residence i.e. they lived on the islands for more than </w:t>
      </w:r>
      <w:r w:rsidR="00D123CD">
        <w:rPr>
          <w:color w:val="000000"/>
        </w:rPr>
        <w:t>10 months</w:t>
      </w:r>
      <w:r>
        <w:rPr>
          <w:color w:val="000000"/>
        </w:rPr>
        <w:t xml:space="preserve"> each year. </w:t>
      </w:r>
    </w:p>
    <w:p w:rsidR="004E5FBA" w:rsidRPr="004E5FBA" w:rsidRDefault="004E5FBA" w:rsidP="004E5FBA">
      <w:pPr>
        <w:pStyle w:val="Legal3"/>
        <w:numPr>
          <w:ilvl w:val="0"/>
          <w:numId w:val="0"/>
        </w:numPr>
        <w:spacing w:before="120" w:after="120"/>
        <w:rPr>
          <w:b/>
          <w:sz w:val="18"/>
          <w:szCs w:val="18"/>
        </w:rPr>
      </w:pPr>
      <w:r w:rsidRPr="004E5FBA">
        <w:rPr>
          <w:b/>
          <w:sz w:val="18"/>
          <w:szCs w:val="18"/>
        </w:rPr>
        <w:t xml:space="preserve">Figure </w:t>
      </w:r>
      <w:r w:rsidR="00D82E3F">
        <w:rPr>
          <w:b/>
          <w:sz w:val="18"/>
          <w:szCs w:val="18"/>
        </w:rPr>
        <w:t>7</w:t>
      </w:r>
      <w:r w:rsidRPr="004E5FBA">
        <w:rPr>
          <w:b/>
          <w:sz w:val="18"/>
          <w:szCs w:val="18"/>
        </w:rPr>
        <w:t>: What best describes your current type of accommodation?</w:t>
      </w:r>
    </w:p>
    <w:p w:rsidR="004E5FBA" w:rsidRPr="004E5FBA" w:rsidRDefault="004E5FBA" w:rsidP="004E5FBA">
      <w:pPr>
        <w:pStyle w:val="Legal3"/>
        <w:numPr>
          <w:ilvl w:val="0"/>
          <w:numId w:val="0"/>
        </w:numPr>
        <w:spacing w:before="120" w:after="120"/>
        <w:ind w:left="709"/>
        <w:rPr>
          <w:color w:val="000000"/>
        </w:rPr>
      </w:pPr>
      <w:r>
        <w:rPr>
          <w:noProof/>
          <w:lang w:eastAsia="en-GB"/>
        </w:rPr>
        <w:drawing>
          <wp:inline distT="0" distB="0" distL="0" distR="0">
            <wp:extent cx="4572000" cy="1879600"/>
            <wp:effectExtent l="0" t="0" r="1905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70344" w:rsidRDefault="004E5FBA" w:rsidP="004E5FBA">
      <w:pPr>
        <w:pStyle w:val="Legal3"/>
        <w:spacing w:before="120" w:after="120"/>
        <w:ind w:left="709" w:hanging="709"/>
        <w:rPr>
          <w:color w:val="000000"/>
        </w:rPr>
      </w:pPr>
      <w:r>
        <w:rPr>
          <w:color w:val="000000"/>
        </w:rPr>
        <w:t>Of those respondents who stated that the I</w:t>
      </w:r>
      <w:r w:rsidR="00670344">
        <w:rPr>
          <w:color w:val="000000"/>
        </w:rPr>
        <w:t>OS wasn’t their main residence</w:t>
      </w:r>
      <w:r w:rsidR="00004506">
        <w:rPr>
          <w:color w:val="000000"/>
        </w:rPr>
        <w:t xml:space="preserve">, </w:t>
      </w:r>
      <w:r w:rsidR="00670344">
        <w:rPr>
          <w:color w:val="000000"/>
        </w:rPr>
        <w:t>one stated that they were temporarily living with parents on the islands and another commented that they were currently renting their accommodation on IOS and were unsure where they would live once that lease came to an end.</w:t>
      </w:r>
    </w:p>
    <w:p w:rsidR="00670344" w:rsidRDefault="00670344" w:rsidP="004E5FBA">
      <w:pPr>
        <w:pStyle w:val="Legal3"/>
        <w:spacing w:before="120" w:after="120"/>
        <w:ind w:left="709" w:hanging="709"/>
        <w:rPr>
          <w:color w:val="000000"/>
        </w:rPr>
      </w:pPr>
      <w:r w:rsidRPr="00D82E3F">
        <w:t xml:space="preserve">Figure </w:t>
      </w:r>
      <w:r w:rsidR="00D82E3F" w:rsidRPr="00D82E3F">
        <w:t>8</w:t>
      </w:r>
      <w:r w:rsidRPr="00D82E3F">
        <w:t xml:space="preserve"> below presents the findings </w:t>
      </w:r>
      <w:r>
        <w:t xml:space="preserve">from a question in the HNS2012 which asked respondents to indicate how long they have lived on IOS, on their current island and in their current </w:t>
      </w:r>
      <w:r w:rsidR="00E872EC">
        <w:t>accommodation</w:t>
      </w:r>
      <w:r>
        <w:t>.</w:t>
      </w:r>
    </w:p>
    <w:p w:rsidR="00BA1423" w:rsidRDefault="00BA1423" w:rsidP="00670344">
      <w:pPr>
        <w:pStyle w:val="Legal3"/>
        <w:numPr>
          <w:ilvl w:val="0"/>
          <w:numId w:val="0"/>
        </w:numPr>
        <w:tabs>
          <w:tab w:val="left" w:pos="851"/>
        </w:tabs>
        <w:spacing w:before="120" w:after="120"/>
        <w:ind w:left="851" w:hanging="851"/>
        <w:rPr>
          <w:b/>
          <w:sz w:val="18"/>
          <w:szCs w:val="18"/>
        </w:rPr>
      </w:pPr>
    </w:p>
    <w:p w:rsidR="00BA1423" w:rsidRDefault="00BA1423" w:rsidP="00670344">
      <w:pPr>
        <w:pStyle w:val="Legal3"/>
        <w:numPr>
          <w:ilvl w:val="0"/>
          <w:numId w:val="0"/>
        </w:numPr>
        <w:tabs>
          <w:tab w:val="left" w:pos="851"/>
        </w:tabs>
        <w:spacing w:before="120" w:after="120"/>
        <w:ind w:left="851" w:hanging="851"/>
        <w:rPr>
          <w:b/>
          <w:sz w:val="18"/>
          <w:szCs w:val="18"/>
        </w:rPr>
      </w:pPr>
    </w:p>
    <w:p w:rsidR="00BA1423" w:rsidRDefault="00BA1423" w:rsidP="00670344">
      <w:pPr>
        <w:pStyle w:val="Legal3"/>
        <w:numPr>
          <w:ilvl w:val="0"/>
          <w:numId w:val="0"/>
        </w:numPr>
        <w:tabs>
          <w:tab w:val="left" w:pos="851"/>
        </w:tabs>
        <w:spacing w:before="120" w:after="120"/>
        <w:ind w:left="851" w:hanging="851"/>
        <w:rPr>
          <w:b/>
          <w:sz w:val="18"/>
          <w:szCs w:val="18"/>
        </w:rPr>
      </w:pPr>
    </w:p>
    <w:p w:rsidR="00670344" w:rsidRPr="00670344" w:rsidRDefault="00670344" w:rsidP="00670344">
      <w:pPr>
        <w:pStyle w:val="Legal3"/>
        <w:numPr>
          <w:ilvl w:val="0"/>
          <w:numId w:val="0"/>
        </w:numPr>
        <w:tabs>
          <w:tab w:val="left" w:pos="851"/>
        </w:tabs>
        <w:spacing w:before="120" w:after="120"/>
        <w:ind w:left="851" w:hanging="851"/>
        <w:rPr>
          <w:b/>
          <w:sz w:val="18"/>
          <w:szCs w:val="18"/>
        </w:rPr>
      </w:pPr>
      <w:r w:rsidRPr="00670344">
        <w:rPr>
          <w:b/>
          <w:sz w:val="18"/>
          <w:szCs w:val="18"/>
        </w:rPr>
        <w:lastRenderedPageBreak/>
        <w:t xml:space="preserve">Figure </w:t>
      </w:r>
      <w:r w:rsidR="00D82E3F">
        <w:rPr>
          <w:b/>
          <w:sz w:val="18"/>
          <w:szCs w:val="18"/>
        </w:rPr>
        <w:t>8</w:t>
      </w:r>
      <w:r w:rsidRPr="00670344">
        <w:rPr>
          <w:b/>
          <w:sz w:val="18"/>
          <w:szCs w:val="18"/>
        </w:rPr>
        <w:t xml:space="preserve">: </w:t>
      </w:r>
      <w:r>
        <w:rPr>
          <w:b/>
          <w:sz w:val="18"/>
          <w:szCs w:val="18"/>
        </w:rPr>
        <w:t>How long have respondents lived on IOS, on their current island and in their current accommodation?</w:t>
      </w:r>
    </w:p>
    <w:p w:rsidR="00670344" w:rsidRDefault="00670344" w:rsidP="00670344">
      <w:pPr>
        <w:pStyle w:val="Legal3"/>
        <w:numPr>
          <w:ilvl w:val="0"/>
          <w:numId w:val="0"/>
        </w:numPr>
        <w:spacing w:before="120" w:after="120"/>
        <w:ind w:left="709"/>
        <w:rPr>
          <w:color w:val="000000"/>
        </w:rPr>
      </w:pPr>
      <w:r>
        <w:rPr>
          <w:noProof/>
          <w:lang w:eastAsia="en-GB"/>
        </w:rPr>
        <w:drawing>
          <wp:inline distT="0" distB="0" distL="0" distR="0">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E5FBA" w:rsidRPr="00D82E3F" w:rsidRDefault="00670344" w:rsidP="004E5FBA">
      <w:pPr>
        <w:pStyle w:val="Legal3"/>
        <w:spacing w:before="120" w:after="120"/>
        <w:ind w:left="709" w:hanging="709"/>
      </w:pPr>
      <w:r>
        <w:rPr>
          <w:color w:val="000000"/>
        </w:rPr>
        <w:t xml:space="preserve">As can be </w:t>
      </w:r>
      <w:r w:rsidRPr="00D82E3F">
        <w:t xml:space="preserve">seen in </w:t>
      </w:r>
      <w:r w:rsidR="00D82E3F" w:rsidRPr="00D82E3F">
        <w:t xml:space="preserve">Figure 8 </w:t>
      </w:r>
      <w:r w:rsidRPr="00D82E3F">
        <w:t xml:space="preserve">a majority of respondents (68.8%) have lived on IOS for more than 10 years and a similar sized majority (68.3%) have lived on their current island for more than 10 years. </w:t>
      </w:r>
      <w:r w:rsidR="00F95C95" w:rsidRPr="00D82E3F">
        <w:t>Only around 3% of respondents have lived on IOS for less than one year.</w:t>
      </w:r>
    </w:p>
    <w:p w:rsidR="00F95C95" w:rsidRDefault="00F95C95" w:rsidP="004E5FBA">
      <w:pPr>
        <w:pStyle w:val="Legal3"/>
        <w:spacing w:before="120" w:after="120"/>
        <w:ind w:left="709" w:hanging="709"/>
        <w:rPr>
          <w:color w:val="000000"/>
        </w:rPr>
      </w:pPr>
      <w:r w:rsidRPr="00D82E3F">
        <w:t xml:space="preserve">Most respondents have also lived in their </w:t>
      </w:r>
      <w:r>
        <w:rPr>
          <w:color w:val="000000"/>
        </w:rPr>
        <w:t>current accommodation for a lengthy period of time. 27.9% have lived in their current accommodation for more than 10 years and a further 36.1% have lived in their current property for between 3 and 10 years. Only 13.1% have lived in their current home for less than 1 year.</w:t>
      </w:r>
    </w:p>
    <w:p w:rsidR="00F95C95" w:rsidRDefault="00F95C95" w:rsidP="004E5FBA">
      <w:pPr>
        <w:pStyle w:val="Legal3"/>
        <w:spacing w:before="120" w:after="120"/>
        <w:ind w:left="709" w:hanging="709"/>
        <w:rPr>
          <w:color w:val="000000"/>
        </w:rPr>
      </w:pPr>
      <w:r>
        <w:rPr>
          <w:color w:val="000000"/>
        </w:rPr>
        <w:t>These results suggest that there is only a small amount of population migration onto the islands</w:t>
      </w:r>
      <w:r w:rsidR="00212993">
        <w:rPr>
          <w:color w:val="000000"/>
        </w:rPr>
        <w:t xml:space="preserve"> and point to a stable population</w:t>
      </w:r>
      <w:r>
        <w:rPr>
          <w:color w:val="000000"/>
        </w:rPr>
        <w:t xml:space="preserve">. </w:t>
      </w:r>
    </w:p>
    <w:p w:rsidR="00267BBE" w:rsidRDefault="00F95C95" w:rsidP="004E5FBA">
      <w:pPr>
        <w:pStyle w:val="Legal3"/>
        <w:spacing w:before="120" w:after="120"/>
        <w:ind w:left="709" w:hanging="709"/>
        <w:rPr>
          <w:color w:val="000000"/>
        </w:rPr>
      </w:pPr>
      <w:r w:rsidRPr="00267BBE">
        <w:rPr>
          <w:color w:val="000000"/>
        </w:rPr>
        <w:t xml:space="preserve">Where respondents had moved to the IOS, we also asked where they were born. This question elicited an interesting response and shows that the population of IOS is made up of residents from a diverse range of locations found within other parts of the UK. </w:t>
      </w:r>
      <w:r w:rsidR="00004506" w:rsidRPr="00267BBE">
        <w:rPr>
          <w:color w:val="000000"/>
        </w:rPr>
        <w:t>P</w:t>
      </w:r>
      <w:r w:rsidRPr="00267BBE">
        <w:rPr>
          <w:color w:val="000000"/>
        </w:rPr>
        <w:t>laces of birth include</w:t>
      </w:r>
      <w:r w:rsidR="00004506" w:rsidRPr="00267BBE">
        <w:rPr>
          <w:color w:val="000000"/>
        </w:rPr>
        <w:t xml:space="preserve">: </w:t>
      </w:r>
      <w:r w:rsidRPr="00267BBE">
        <w:rPr>
          <w:color w:val="000000"/>
        </w:rPr>
        <w:t>E</w:t>
      </w:r>
      <w:r w:rsidR="00267BBE" w:rsidRPr="00267BBE">
        <w:rPr>
          <w:color w:val="000000"/>
        </w:rPr>
        <w:t>dinburgh, E</w:t>
      </w:r>
      <w:r w:rsidRPr="00267BBE">
        <w:rPr>
          <w:color w:val="000000"/>
        </w:rPr>
        <w:t xml:space="preserve">xeter, </w:t>
      </w:r>
      <w:r w:rsidR="00267BBE" w:rsidRPr="00267BBE">
        <w:rPr>
          <w:color w:val="000000"/>
        </w:rPr>
        <w:t xml:space="preserve">Leeds, Liverpool, London, Manchester </w:t>
      </w:r>
      <w:r w:rsidRPr="00267BBE">
        <w:rPr>
          <w:color w:val="000000"/>
        </w:rPr>
        <w:t xml:space="preserve">Nottingham, </w:t>
      </w:r>
      <w:r w:rsidR="00267BBE" w:rsidRPr="00267BBE">
        <w:rPr>
          <w:color w:val="000000"/>
        </w:rPr>
        <w:t>Skegness, Sheffield and Southampton and counties as diverse as Bu</w:t>
      </w:r>
      <w:r w:rsidR="00EC195D">
        <w:rPr>
          <w:color w:val="000000"/>
        </w:rPr>
        <w:t>c</w:t>
      </w:r>
      <w:r w:rsidR="00267BBE" w:rsidRPr="00267BBE">
        <w:rPr>
          <w:color w:val="000000"/>
        </w:rPr>
        <w:t>kinghamshire and Staffordshire.</w:t>
      </w:r>
    </w:p>
    <w:p w:rsidR="00F95C95" w:rsidRPr="00267BBE" w:rsidRDefault="00F95C95" w:rsidP="004E5FBA">
      <w:pPr>
        <w:pStyle w:val="Legal3"/>
        <w:spacing w:before="120" w:after="120"/>
        <w:ind w:left="709" w:hanging="709"/>
        <w:rPr>
          <w:color w:val="000000"/>
        </w:rPr>
      </w:pPr>
      <w:r w:rsidRPr="00267BBE">
        <w:rPr>
          <w:color w:val="000000"/>
        </w:rPr>
        <w:t>Two respondents also stated that they were born outside of the UK.</w:t>
      </w:r>
    </w:p>
    <w:p w:rsidR="00FE3631" w:rsidRPr="00DF4D66" w:rsidRDefault="00FE3631" w:rsidP="00FE363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Housing ownership on Isles of Scilly</w:t>
      </w:r>
    </w:p>
    <w:p w:rsidR="00FE3631" w:rsidRPr="00D82E3F" w:rsidRDefault="00FE3631" w:rsidP="00FE3631">
      <w:pPr>
        <w:pStyle w:val="Legal3"/>
        <w:spacing w:before="120" w:after="120"/>
        <w:ind w:left="709" w:hanging="709"/>
      </w:pPr>
      <w:r>
        <w:rPr>
          <w:color w:val="000000"/>
        </w:rPr>
        <w:t xml:space="preserve">As detailed </w:t>
      </w:r>
      <w:r w:rsidRPr="00D82E3F">
        <w:t xml:space="preserve">in </w:t>
      </w:r>
      <w:r w:rsidR="00D82E3F" w:rsidRPr="00D82E3F">
        <w:t>Figure 5</w:t>
      </w:r>
      <w:r w:rsidRPr="00D82E3F">
        <w:t xml:space="preserve"> above only 13.4% of respondents own the property that they currently live in. A further 1.5% of respondents are buying with a mortgage and 4.5% own their property subject to a planning </w:t>
      </w:r>
      <w:r w:rsidR="00F138E9">
        <w:t>obligation.</w:t>
      </w:r>
      <w:r w:rsidR="00EC195D">
        <w:t xml:space="preserve"> </w:t>
      </w:r>
    </w:p>
    <w:p w:rsidR="00FE3631" w:rsidRDefault="00FE3631" w:rsidP="00FE3631">
      <w:pPr>
        <w:pStyle w:val="Legal3"/>
        <w:spacing w:before="120" w:after="120"/>
        <w:ind w:left="709" w:hanging="709"/>
      </w:pPr>
      <w:r w:rsidRPr="00D82E3F">
        <w:t xml:space="preserve">The HNS2012 also sought to find </w:t>
      </w:r>
      <w:r>
        <w:rPr>
          <w:color w:val="000000"/>
        </w:rPr>
        <w:t>out if respondents owned any additional properties that they do not live in. These questions found:</w:t>
      </w:r>
    </w:p>
    <w:p w:rsidR="00FE3631" w:rsidRDefault="00FE3631" w:rsidP="00FE3631">
      <w:pPr>
        <w:pStyle w:val="Legal3"/>
        <w:numPr>
          <w:ilvl w:val="0"/>
          <w:numId w:val="5"/>
        </w:numPr>
        <w:spacing w:before="120" w:after="120"/>
        <w:ind w:left="1134" w:hanging="425"/>
      </w:pPr>
      <w:r>
        <w:t>4.7% of respondents (3 from a total of 64 that answered this question) do own another property on the IOS. Of these 3 people, one would be willing to let the property out at locally affordable rents</w:t>
      </w:r>
    </w:p>
    <w:p w:rsidR="00FE3631" w:rsidRDefault="00FE3631" w:rsidP="00FE3631">
      <w:pPr>
        <w:pStyle w:val="Legal3"/>
        <w:numPr>
          <w:ilvl w:val="0"/>
          <w:numId w:val="5"/>
        </w:numPr>
        <w:spacing w:before="120" w:after="120"/>
        <w:ind w:left="1134" w:hanging="425"/>
      </w:pPr>
      <w:r>
        <w:t xml:space="preserve">9.5% of respondents (9 from 63 </w:t>
      </w:r>
      <w:r w:rsidR="004B6C43">
        <w:t xml:space="preserve">that </w:t>
      </w:r>
      <w:r>
        <w:t>answered the question) own accommodation in another location</w:t>
      </w:r>
      <w:r w:rsidR="008D280B">
        <w:t>.</w:t>
      </w:r>
    </w:p>
    <w:p w:rsidR="00FE3631" w:rsidRPr="00C07A04" w:rsidRDefault="00FE3631" w:rsidP="00FE3631">
      <w:pPr>
        <w:pStyle w:val="Legal3"/>
        <w:spacing w:before="120" w:after="120"/>
        <w:ind w:left="709" w:hanging="709"/>
        <w:rPr>
          <w:color w:val="000000"/>
        </w:rPr>
      </w:pPr>
      <w:r w:rsidRPr="00C07A04">
        <w:rPr>
          <w:color w:val="000000"/>
        </w:rPr>
        <w:lastRenderedPageBreak/>
        <w:t>These figures compare to a national average of 66% of homes being owner occupied</w:t>
      </w:r>
      <w:r>
        <w:rPr>
          <w:rStyle w:val="FootnoteReference"/>
          <w:color w:val="000000"/>
        </w:rPr>
        <w:footnoteReference w:id="9"/>
      </w:r>
      <w:r w:rsidRPr="00C07A04">
        <w:rPr>
          <w:color w:val="000000"/>
        </w:rPr>
        <w:t>. The lower level of owner occupation found in this survey may suggest one of two things</w:t>
      </w:r>
      <w:r w:rsidR="004B6C43">
        <w:rPr>
          <w:color w:val="000000"/>
        </w:rPr>
        <w:t>:</w:t>
      </w:r>
      <w:r w:rsidR="004B6C43" w:rsidRPr="00C07A04">
        <w:rPr>
          <w:color w:val="000000"/>
        </w:rPr>
        <w:t xml:space="preserve"> </w:t>
      </w:r>
      <w:r w:rsidRPr="00C07A04">
        <w:rPr>
          <w:color w:val="000000"/>
        </w:rPr>
        <w:t>either home ownership rates on IOS are significantly lower than regional and national rates</w:t>
      </w:r>
      <w:r w:rsidR="004B6C43">
        <w:rPr>
          <w:color w:val="000000"/>
        </w:rPr>
        <w:t>,</w:t>
      </w:r>
      <w:r w:rsidRPr="00C07A04">
        <w:rPr>
          <w:color w:val="000000"/>
        </w:rPr>
        <w:t xml:space="preserve"> or those who do</w:t>
      </w:r>
      <w:r w:rsidR="004B6C43">
        <w:rPr>
          <w:color w:val="000000"/>
        </w:rPr>
        <w:t xml:space="preserve"> not </w:t>
      </w:r>
      <w:r w:rsidRPr="00C07A04">
        <w:rPr>
          <w:color w:val="000000"/>
        </w:rPr>
        <w:t xml:space="preserve">own their accommodation experience more problems with their properties, have higher levels of dissatisfaction and are </w:t>
      </w:r>
      <w:r w:rsidRPr="00D82E3F">
        <w:t>more motivated to participate in surveys such as this. Further information on this can be found in Section 6.2.</w:t>
      </w:r>
    </w:p>
    <w:p w:rsidR="00FE3631" w:rsidRDefault="00FE3631" w:rsidP="00FE3631">
      <w:pPr>
        <w:pStyle w:val="Legal3"/>
        <w:numPr>
          <w:ilvl w:val="0"/>
          <w:numId w:val="0"/>
        </w:numPr>
        <w:spacing w:before="120" w:after="120"/>
        <w:ind w:left="709"/>
        <w:rPr>
          <w:color w:val="000000"/>
        </w:rPr>
      </w:pPr>
    </w:p>
    <w:p w:rsidR="00C77D77" w:rsidRPr="00FE3631" w:rsidRDefault="00C77D77" w:rsidP="00FE3631">
      <w:pPr>
        <w:pStyle w:val="Legal1"/>
        <w:numPr>
          <w:ilvl w:val="0"/>
          <w:numId w:val="3"/>
        </w:numPr>
        <w:tabs>
          <w:tab w:val="num" w:pos="709"/>
        </w:tabs>
        <w:spacing w:before="120" w:after="120"/>
        <w:rPr>
          <w:color w:val="403152" w:themeColor="accent4" w:themeShade="80"/>
        </w:rPr>
        <w:sectPr w:rsidR="00C77D77" w:rsidRPr="00FE3631" w:rsidSect="001A5810">
          <w:headerReference w:type="even" r:id="rId23"/>
          <w:footerReference w:type="default" r:id="rId24"/>
          <w:headerReference w:type="first" r:id="rId25"/>
          <w:pgSz w:w="11906" w:h="16838"/>
          <w:pgMar w:top="1814" w:right="1440" w:bottom="1418" w:left="1418" w:header="709" w:footer="709" w:gutter="0"/>
          <w:cols w:space="708"/>
          <w:docGrid w:linePitch="360"/>
        </w:sectPr>
      </w:pPr>
    </w:p>
    <w:p w:rsidR="00C77D77" w:rsidRPr="00C77D77" w:rsidRDefault="00FE3631" w:rsidP="00C77D77">
      <w:pPr>
        <w:pStyle w:val="Legal1"/>
        <w:numPr>
          <w:ilvl w:val="0"/>
          <w:numId w:val="3"/>
        </w:numPr>
        <w:spacing w:before="120" w:after="60"/>
        <w:rPr>
          <w:color w:val="403152"/>
          <w:sz w:val="24"/>
          <w:szCs w:val="24"/>
        </w:rPr>
      </w:pPr>
      <w:bookmarkStart w:id="6" w:name="_Toc343686378"/>
      <w:r>
        <w:rPr>
          <w:color w:val="403152"/>
          <w:sz w:val="24"/>
          <w:szCs w:val="24"/>
        </w:rPr>
        <w:lastRenderedPageBreak/>
        <w:t>S</w:t>
      </w:r>
      <w:r w:rsidR="00C77D77" w:rsidRPr="00C77D77">
        <w:rPr>
          <w:color w:val="403152"/>
          <w:sz w:val="24"/>
          <w:szCs w:val="24"/>
        </w:rPr>
        <w:t xml:space="preserve">atisfaction </w:t>
      </w:r>
      <w:r>
        <w:rPr>
          <w:color w:val="403152"/>
          <w:sz w:val="24"/>
          <w:szCs w:val="24"/>
        </w:rPr>
        <w:t xml:space="preserve">with housing </w:t>
      </w:r>
      <w:r w:rsidR="00C77D77" w:rsidRPr="00C77D77">
        <w:rPr>
          <w:color w:val="403152"/>
          <w:sz w:val="24"/>
          <w:szCs w:val="24"/>
        </w:rPr>
        <w:t>and housing need</w:t>
      </w:r>
      <w:bookmarkEnd w:id="6"/>
    </w:p>
    <w:p w:rsidR="0087683A" w:rsidRPr="00DF4D66" w:rsidRDefault="0087683A"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Satisfaction with existing housing</w:t>
      </w:r>
    </w:p>
    <w:p w:rsidR="00F95C95" w:rsidRDefault="00F95C95" w:rsidP="0087683A">
      <w:pPr>
        <w:pStyle w:val="Legal3"/>
        <w:spacing w:before="120" w:after="120"/>
        <w:ind w:left="709" w:hanging="709"/>
      </w:pPr>
      <w:r>
        <w:t xml:space="preserve">A key question in the HNS2012 was to </w:t>
      </w:r>
      <w:r w:rsidR="00272208">
        <w:t xml:space="preserve">ask respondents whether the current accommodation they lived in was satisfactory. The results are </w:t>
      </w:r>
      <w:r w:rsidR="00272208" w:rsidRPr="00D82E3F">
        <w:t xml:space="preserve">presented in Figure </w:t>
      </w:r>
      <w:r w:rsidR="00D82E3F" w:rsidRPr="00D82E3F">
        <w:t>9</w:t>
      </w:r>
      <w:r w:rsidR="00272208" w:rsidRPr="00D82E3F">
        <w:t xml:space="preserve"> </w:t>
      </w:r>
      <w:r w:rsidR="00272208">
        <w:t>below.</w:t>
      </w:r>
    </w:p>
    <w:p w:rsidR="00272208" w:rsidRPr="00272208" w:rsidRDefault="00D82E3F" w:rsidP="00272208">
      <w:pPr>
        <w:pStyle w:val="Legal3"/>
        <w:numPr>
          <w:ilvl w:val="0"/>
          <w:numId w:val="0"/>
        </w:numPr>
        <w:tabs>
          <w:tab w:val="left" w:pos="851"/>
        </w:tabs>
        <w:spacing w:before="120" w:after="120"/>
        <w:ind w:left="851" w:hanging="851"/>
        <w:rPr>
          <w:b/>
          <w:sz w:val="18"/>
          <w:szCs w:val="18"/>
        </w:rPr>
      </w:pPr>
      <w:r>
        <w:rPr>
          <w:b/>
          <w:sz w:val="18"/>
          <w:szCs w:val="18"/>
        </w:rPr>
        <w:t>Figure 9</w:t>
      </w:r>
      <w:r w:rsidR="00272208" w:rsidRPr="00272208">
        <w:rPr>
          <w:b/>
          <w:sz w:val="18"/>
          <w:szCs w:val="18"/>
        </w:rPr>
        <w:t>: Is you current accommodation satisfactory?</w:t>
      </w:r>
    </w:p>
    <w:p w:rsidR="00272208" w:rsidRDefault="00272208" w:rsidP="00272208">
      <w:pPr>
        <w:pStyle w:val="Legal3"/>
        <w:numPr>
          <w:ilvl w:val="0"/>
          <w:numId w:val="0"/>
        </w:numPr>
        <w:spacing w:before="120" w:after="120"/>
        <w:ind w:left="709"/>
      </w:pPr>
      <w:r>
        <w:rPr>
          <w:noProof/>
          <w:lang w:eastAsia="en-GB"/>
        </w:rPr>
        <w:drawing>
          <wp:inline distT="0" distB="0" distL="0" distR="0">
            <wp:extent cx="4572000" cy="18669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72208" w:rsidRDefault="00272208" w:rsidP="0087683A">
      <w:pPr>
        <w:pStyle w:val="Legal3"/>
        <w:spacing w:before="120" w:after="120"/>
        <w:ind w:left="709" w:hanging="709"/>
      </w:pPr>
      <w:r>
        <w:t xml:space="preserve">As can be seen, </w:t>
      </w:r>
      <w:proofErr w:type="gramStart"/>
      <w:r>
        <w:t xml:space="preserve">a </w:t>
      </w:r>
      <w:r w:rsidR="00EC195D">
        <w:t xml:space="preserve">considerable </w:t>
      </w:r>
      <w:r>
        <w:t>proportion (40.4%) of respondents are</w:t>
      </w:r>
      <w:proofErr w:type="gramEnd"/>
      <w:r>
        <w:t xml:space="preserve"> </w:t>
      </w:r>
      <w:r w:rsidR="00EC195D">
        <w:t>diss</w:t>
      </w:r>
      <w:r>
        <w:t xml:space="preserve">atisfied with their current accommodation. </w:t>
      </w:r>
      <w:r w:rsidR="00EC195D">
        <w:t>It</w:t>
      </w:r>
      <w:r>
        <w:t xml:space="preserve"> also marks an increase from </w:t>
      </w:r>
      <w:r w:rsidR="00EC195D">
        <w:t xml:space="preserve">the </w:t>
      </w:r>
      <w:r>
        <w:t>20% of respondents who expressed dissatisfaction in the 2005 Housing Needs Survey.</w:t>
      </w:r>
    </w:p>
    <w:p w:rsidR="007C17BD" w:rsidRDefault="007C17BD" w:rsidP="0087683A">
      <w:pPr>
        <w:pStyle w:val="Legal3"/>
        <w:spacing w:before="120" w:after="120"/>
        <w:ind w:left="709" w:hanging="709"/>
      </w:pPr>
      <w:r>
        <w:t xml:space="preserve">We have completed further analysis on this question to determine whether there are </w:t>
      </w:r>
      <w:r w:rsidRPr="00D82E3F">
        <w:t xml:space="preserve">any differences in satisfaction rates on the different islands or when comparing tenure types. Figure </w:t>
      </w:r>
      <w:r w:rsidR="00D82E3F" w:rsidRPr="00D82E3F">
        <w:t>10</w:t>
      </w:r>
      <w:r w:rsidRPr="00D82E3F">
        <w:t xml:space="preserve"> below presents the analysis of satisfaction rates with accommodation, broken down </w:t>
      </w:r>
      <w:r>
        <w:t>by island.</w:t>
      </w:r>
    </w:p>
    <w:p w:rsidR="007C17BD" w:rsidRPr="007C17BD" w:rsidRDefault="007C17BD" w:rsidP="007C17BD">
      <w:pPr>
        <w:pStyle w:val="Legal3"/>
        <w:numPr>
          <w:ilvl w:val="0"/>
          <w:numId w:val="0"/>
        </w:numPr>
        <w:tabs>
          <w:tab w:val="left" w:pos="851"/>
        </w:tabs>
        <w:spacing w:before="120" w:after="120"/>
        <w:ind w:left="851" w:hanging="851"/>
        <w:rPr>
          <w:b/>
          <w:sz w:val="18"/>
          <w:szCs w:val="18"/>
        </w:rPr>
      </w:pPr>
      <w:r w:rsidRPr="007C17BD">
        <w:rPr>
          <w:b/>
          <w:sz w:val="18"/>
          <w:szCs w:val="18"/>
        </w:rPr>
        <w:t xml:space="preserve">Figure </w:t>
      </w:r>
      <w:r w:rsidR="00D82E3F">
        <w:rPr>
          <w:b/>
          <w:sz w:val="18"/>
          <w:szCs w:val="18"/>
        </w:rPr>
        <w:t>10</w:t>
      </w:r>
      <w:r w:rsidRPr="007C17BD">
        <w:rPr>
          <w:b/>
          <w:sz w:val="18"/>
          <w:szCs w:val="18"/>
        </w:rPr>
        <w:t xml:space="preserve">: </w:t>
      </w:r>
      <w:r>
        <w:rPr>
          <w:b/>
          <w:sz w:val="18"/>
          <w:szCs w:val="18"/>
        </w:rPr>
        <w:t>Satisfaction with accommodation, by island</w:t>
      </w:r>
    </w:p>
    <w:p w:rsidR="007C17BD" w:rsidRDefault="007C17BD" w:rsidP="007C17BD">
      <w:pPr>
        <w:pStyle w:val="Legal3"/>
        <w:numPr>
          <w:ilvl w:val="0"/>
          <w:numId w:val="0"/>
        </w:numPr>
        <w:spacing w:before="120" w:after="120"/>
        <w:ind w:left="709"/>
      </w:pPr>
      <w:r>
        <w:rPr>
          <w:noProof/>
          <w:lang w:eastAsia="en-GB"/>
        </w:rPr>
        <w:drawing>
          <wp:inline distT="0" distB="0" distL="0" distR="0">
            <wp:extent cx="4572000" cy="2273300"/>
            <wp:effectExtent l="0" t="0" r="1905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t xml:space="preserve"> </w:t>
      </w:r>
    </w:p>
    <w:p w:rsidR="007C17BD" w:rsidRDefault="007C17BD" w:rsidP="0087683A">
      <w:pPr>
        <w:pStyle w:val="Legal3"/>
        <w:spacing w:before="120" w:after="120"/>
        <w:ind w:left="709" w:hanging="709"/>
      </w:pPr>
      <w:r>
        <w:t xml:space="preserve">As can be seen above, there </w:t>
      </w:r>
      <w:r w:rsidR="00292FEA">
        <w:t xml:space="preserve">is a difference </w:t>
      </w:r>
      <w:r>
        <w:t>between satisfaction rates with accommodation across the different islands</w:t>
      </w:r>
      <w:r w:rsidR="00292FEA">
        <w:t>. On St Mary’s nearly two thirds of respondents were satisfied whereas on</w:t>
      </w:r>
      <w:r>
        <w:t xml:space="preserve"> St Agnes and St Martin’s </w:t>
      </w:r>
      <w:r w:rsidR="00292FEA">
        <w:t>they were</w:t>
      </w:r>
      <w:r>
        <w:t xml:space="preserve"> evenly split </w:t>
      </w:r>
      <w:r w:rsidR="00292FEA">
        <w:t xml:space="preserve">at </w:t>
      </w:r>
      <w:r>
        <w:t xml:space="preserve">50:50. Some care should be taken with the 100% of respondents </w:t>
      </w:r>
      <w:r w:rsidR="00292FEA">
        <w:t>on</w:t>
      </w:r>
      <w:r>
        <w:t xml:space="preserve"> Bryher dissatisfied with their accommodation as this is based on a sample size of just 2. </w:t>
      </w:r>
    </w:p>
    <w:p w:rsidR="00292FEA" w:rsidRDefault="00292FEA" w:rsidP="00292FEA">
      <w:pPr>
        <w:pStyle w:val="Legal1"/>
        <w:numPr>
          <w:ilvl w:val="0"/>
          <w:numId w:val="0"/>
        </w:numPr>
      </w:pPr>
    </w:p>
    <w:p w:rsidR="007C17BD" w:rsidRDefault="007C17BD" w:rsidP="0087683A">
      <w:pPr>
        <w:pStyle w:val="Legal3"/>
        <w:spacing w:before="120" w:after="120"/>
        <w:ind w:left="709" w:hanging="709"/>
      </w:pPr>
      <w:r>
        <w:lastRenderedPageBreak/>
        <w:t xml:space="preserve">Figure </w:t>
      </w:r>
      <w:r w:rsidR="00D82E3F">
        <w:t>11</w:t>
      </w:r>
      <w:r>
        <w:t xml:space="preserve"> below presents the analysis of satisfaction rates with accommodation, broken down by tenure type.</w:t>
      </w:r>
    </w:p>
    <w:p w:rsidR="007C17BD" w:rsidRPr="007C17BD" w:rsidRDefault="007C17BD" w:rsidP="007C17BD">
      <w:pPr>
        <w:pStyle w:val="Legal3"/>
        <w:numPr>
          <w:ilvl w:val="0"/>
          <w:numId w:val="0"/>
        </w:numPr>
        <w:tabs>
          <w:tab w:val="left" w:pos="851"/>
        </w:tabs>
        <w:spacing w:before="120" w:after="120"/>
        <w:ind w:left="851" w:hanging="851"/>
        <w:rPr>
          <w:b/>
          <w:sz w:val="18"/>
          <w:szCs w:val="18"/>
        </w:rPr>
      </w:pPr>
      <w:r w:rsidRPr="007C17BD">
        <w:rPr>
          <w:b/>
          <w:sz w:val="18"/>
          <w:szCs w:val="18"/>
        </w:rPr>
        <w:t xml:space="preserve">Figure </w:t>
      </w:r>
      <w:r w:rsidR="00D82E3F">
        <w:rPr>
          <w:b/>
          <w:sz w:val="18"/>
          <w:szCs w:val="18"/>
        </w:rPr>
        <w:t>11</w:t>
      </w:r>
      <w:r w:rsidRPr="007C17BD">
        <w:rPr>
          <w:b/>
          <w:sz w:val="18"/>
          <w:szCs w:val="18"/>
        </w:rPr>
        <w:t xml:space="preserve">: Satisfaction with accommodation, </w:t>
      </w:r>
      <w:r>
        <w:rPr>
          <w:b/>
          <w:sz w:val="18"/>
          <w:szCs w:val="18"/>
        </w:rPr>
        <w:t>by tenure type</w:t>
      </w:r>
    </w:p>
    <w:p w:rsidR="007C17BD" w:rsidRDefault="007C17BD" w:rsidP="007C17BD">
      <w:pPr>
        <w:pStyle w:val="Legal3"/>
        <w:numPr>
          <w:ilvl w:val="0"/>
          <w:numId w:val="0"/>
        </w:numPr>
        <w:spacing w:before="120" w:after="120"/>
        <w:ind w:left="709"/>
      </w:pPr>
      <w:r>
        <w:rPr>
          <w:noProof/>
          <w:lang w:eastAsia="en-GB"/>
        </w:rPr>
        <w:drawing>
          <wp:inline distT="0" distB="0" distL="0" distR="0">
            <wp:extent cx="4572000" cy="2260600"/>
            <wp:effectExtent l="0" t="0" r="19050" b="254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C3469" w:rsidRDefault="00976024" w:rsidP="0087683A">
      <w:pPr>
        <w:pStyle w:val="Legal3"/>
        <w:spacing w:before="120" w:after="120"/>
        <w:ind w:left="709" w:hanging="709"/>
      </w:pPr>
      <w:r>
        <w:t xml:space="preserve">Dividing </w:t>
      </w:r>
      <w:r w:rsidR="007C17BD">
        <w:t xml:space="preserve">satisfaction rates by tenure type presents some interesting differences for example; 100% of </w:t>
      </w:r>
      <w:r w:rsidR="009A2391">
        <w:t>respondent</w:t>
      </w:r>
      <w:r w:rsidR="007C17BD">
        <w:t xml:space="preserve">s who own their properties are happy with their accommodation. This drops to 66.7% for those renting from the Council and 42.9% for those renting from a housing association. </w:t>
      </w:r>
    </w:p>
    <w:p w:rsidR="007C17BD" w:rsidRPr="00D82E3F" w:rsidRDefault="000C3469" w:rsidP="0087683A">
      <w:pPr>
        <w:pStyle w:val="Legal3"/>
        <w:spacing w:before="120" w:after="120"/>
        <w:ind w:left="709" w:hanging="709"/>
      </w:pPr>
      <w:r>
        <w:t xml:space="preserve">Only 28.6% of </w:t>
      </w:r>
      <w:r w:rsidR="009A2391">
        <w:t>respondent</w:t>
      </w:r>
      <w:r>
        <w:t xml:space="preserve">s living with their parents are happy with their accommodation </w:t>
      </w:r>
      <w:r w:rsidR="004B6C43">
        <w:t xml:space="preserve">which </w:t>
      </w:r>
      <w:r>
        <w:t xml:space="preserve">is most likely a reflection of problems with size and space, rather than </w:t>
      </w:r>
      <w:r w:rsidRPr="00D82E3F">
        <w:t>problems with maintenance, repairs etc.</w:t>
      </w:r>
    </w:p>
    <w:p w:rsidR="00272208" w:rsidRPr="00D82E3F" w:rsidRDefault="00272208" w:rsidP="0087683A">
      <w:pPr>
        <w:pStyle w:val="Legal3"/>
        <w:spacing w:before="120" w:after="120"/>
        <w:ind w:left="709" w:hanging="709"/>
      </w:pPr>
      <w:r w:rsidRPr="00D82E3F">
        <w:t xml:space="preserve">To gain a further insight </w:t>
      </w:r>
      <w:r w:rsidR="00976024">
        <w:t>in</w:t>
      </w:r>
      <w:r w:rsidRPr="00D82E3F">
        <w:t xml:space="preserve">to what might be driving this dissatisfaction with existing accommodation, we asked those respondents who answered ‘no’ to the above question, to provide further details on what they would like improved. The results are presented in Figure </w:t>
      </w:r>
      <w:r w:rsidR="00D82E3F" w:rsidRPr="00D82E3F">
        <w:t>12</w:t>
      </w:r>
      <w:r w:rsidRPr="00D82E3F">
        <w:t xml:space="preserve"> below.</w:t>
      </w:r>
    </w:p>
    <w:p w:rsidR="00272208" w:rsidRPr="00272208" w:rsidRDefault="00272208" w:rsidP="00272208">
      <w:pPr>
        <w:pStyle w:val="Legal3"/>
        <w:numPr>
          <w:ilvl w:val="0"/>
          <w:numId w:val="0"/>
        </w:numPr>
        <w:tabs>
          <w:tab w:val="left" w:pos="851"/>
        </w:tabs>
        <w:spacing w:before="120" w:after="120"/>
        <w:ind w:left="851" w:hanging="851"/>
        <w:rPr>
          <w:b/>
          <w:sz w:val="18"/>
          <w:szCs w:val="18"/>
        </w:rPr>
      </w:pPr>
      <w:r w:rsidRPr="00272208">
        <w:rPr>
          <w:b/>
          <w:sz w:val="18"/>
          <w:szCs w:val="18"/>
        </w:rPr>
        <w:t xml:space="preserve">Figure </w:t>
      </w:r>
      <w:r w:rsidR="00D82E3F">
        <w:rPr>
          <w:b/>
          <w:sz w:val="18"/>
          <w:szCs w:val="18"/>
        </w:rPr>
        <w:t>12</w:t>
      </w:r>
      <w:r w:rsidRPr="00272208">
        <w:rPr>
          <w:b/>
          <w:sz w:val="18"/>
          <w:szCs w:val="18"/>
        </w:rPr>
        <w:t xml:space="preserve">: </w:t>
      </w:r>
      <w:r>
        <w:rPr>
          <w:b/>
          <w:sz w:val="18"/>
          <w:szCs w:val="18"/>
        </w:rPr>
        <w:t>What would you like improved in your current accommodation?</w:t>
      </w:r>
      <w:r w:rsidR="00107011">
        <w:rPr>
          <w:b/>
          <w:sz w:val="18"/>
          <w:szCs w:val="18"/>
        </w:rPr>
        <w:t xml:space="preserve"> </w:t>
      </w:r>
    </w:p>
    <w:p w:rsidR="00272208" w:rsidRPr="00F95C95" w:rsidRDefault="00214469" w:rsidP="00272208">
      <w:pPr>
        <w:pStyle w:val="Legal3"/>
        <w:numPr>
          <w:ilvl w:val="0"/>
          <w:numId w:val="0"/>
        </w:numPr>
        <w:spacing w:before="120" w:after="120"/>
        <w:ind w:left="709"/>
      </w:pPr>
      <w:r w:rsidRPr="00214469">
        <w:rPr>
          <w:noProof/>
          <w:lang w:eastAsia="en-GB"/>
        </w:rPr>
        <w:drawing>
          <wp:inline distT="0" distB="0" distL="0" distR="0">
            <wp:extent cx="4584700" cy="27432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4700" cy="2743200"/>
                    </a:xfrm>
                    <a:prstGeom prst="rect">
                      <a:avLst/>
                    </a:prstGeom>
                    <a:noFill/>
                    <a:ln>
                      <a:noFill/>
                    </a:ln>
                  </pic:spPr>
                </pic:pic>
              </a:graphicData>
            </a:graphic>
          </wp:inline>
        </w:drawing>
      </w:r>
    </w:p>
    <w:p w:rsidR="0087683A" w:rsidRPr="00272208" w:rsidRDefault="00272208" w:rsidP="0087683A">
      <w:pPr>
        <w:pStyle w:val="Legal3"/>
        <w:spacing w:before="120" w:after="120"/>
        <w:ind w:left="709" w:hanging="709"/>
      </w:pPr>
      <w:r>
        <w:rPr>
          <w:color w:val="000000"/>
        </w:rPr>
        <w:t xml:space="preserve">With </w:t>
      </w:r>
      <w:r w:rsidR="000073B1">
        <w:rPr>
          <w:color w:val="000000"/>
        </w:rPr>
        <w:t>34</w:t>
      </w:r>
      <w:r>
        <w:rPr>
          <w:color w:val="000000"/>
        </w:rPr>
        <w:t>.</w:t>
      </w:r>
      <w:r w:rsidR="000073B1">
        <w:rPr>
          <w:color w:val="000000"/>
        </w:rPr>
        <w:t>8</w:t>
      </w:r>
      <w:r>
        <w:rPr>
          <w:color w:val="000000"/>
        </w:rPr>
        <w:t xml:space="preserve">% responses, </w:t>
      </w:r>
      <w:r w:rsidR="00FE3631">
        <w:rPr>
          <w:color w:val="000000"/>
        </w:rPr>
        <w:t xml:space="preserve">an improvement in the number of </w:t>
      </w:r>
      <w:r>
        <w:rPr>
          <w:color w:val="000000"/>
        </w:rPr>
        <w:t xml:space="preserve">bedrooms was the most popular answer from those respondents who expressed dissatisfaction with their </w:t>
      </w:r>
      <w:r>
        <w:rPr>
          <w:color w:val="000000"/>
        </w:rPr>
        <w:lastRenderedPageBreak/>
        <w:t xml:space="preserve">existing accommodation. This was followed by improved heating / insulation with </w:t>
      </w:r>
      <w:r w:rsidR="000073B1">
        <w:rPr>
          <w:color w:val="000000"/>
        </w:rPr>
        <w:t>26</w:t>
      </w:r>
      <w:r>
        <w:rPr>
          <w:color w:val="000000"/>
        </w:rPr>
        <w:t>.</w:t>
      </w:r>
      <w:r w:rsidR="000073B1">
        <w:rPr>
          <w:color w:val="000000"/>
        </w:rPr>
        <w:t>1</w:t>
      </w:r>
      <w:r>
        <w:rPr>
          <w:color w:val="000000"/>
        </w:rPr>
        <w:t xml:space="preserve">% of responses and repairs with </w:t>
      </w:r>
      <w:r w:rsidR="000073B1">
        <w:rPr>
          <w:color w:val="000000"/>
        </w:rPr>
        <w:t>13</w:t>
      </w:r>
      <w:r>
        <w:rPr>
          <w:color w:val="000000"/>
        </w:rPr>
        <w:t>.</w:t>
      </w:r>
      <w:r w:rsidR="000073B1">
        <w:rPr>
          <w:color w:val="000000"/>
        </w:rPr>
        <w:t>0</w:t>
      </w:r>
      <w:r>
        <w:rPr>
          <w:color w:val="000000"/>
        </w:rPr>
        <w:t>% of responses.</w:t>
      </w:r>
    </w:p>
    <w:p w:rsidR="00272208" w:rsidRDefault="000073B1" w:rsidP="0087683A">
      <w:pPr>
        <w:pStyle w:val="Legal3"/>
        <w:spacing w:before="120" w:after="120"/>
        <w:ind w:left="709" w:hanging="709"/>
      </w:pPr>
      <w:r>
        <w:rPr>
          <w:color w:val="000000"/>
        </w:rPr>
        <w:t xml:space="preserve">26% of respondents also cited improvements other than </w:t>
      </w:r>
      <w:r w:rsidRPr="00D82E3F">
        <w:t xml:space="preserve">those listed in Figure </w:t>
      </w:r>
      <w:r w:rsidR="00D82E3F" w:rsidRPr="00D82E3F">
        <w:t>12</w:t>
      </w:r>
      <w:r w:rsidRPr="00D82E3F">
        <w:t xml:space="preserve"> </w:t>
      </w:r>
      <w:r>
        <w:rPr>
          <w:color w:val="000000"/>
        </w:rPr>
        <w:t>above. These open responses included:</w:t>
      </w:r>
    </w:p>
    <w:p w:rsidR="0087683A" w:rsidRDefault="000073B1" w:rsidP="000073B1">
      <w:pPr>
        <w:pStyle w:val="Legal3"/>
        <w:numPr>
          <w:ilvl w:val="0"/>
          <w:numId w:val="5"/>
        </w:numPr>
        <w:spacing w:before="120" w:after="120"/>
        <w:ind w:left="1134" w:hanging="425"/>
      </w:pPr>
      <w:r>
        <w:t>Office space to enable home working</w:t>
      </w:r>
    </w:p>
    <w:p w:rsidR="000073B1" w:rsidRDefault="000073B1" w:rsidP="000073B1">
      <w:pPr>
        <w:pStyle w:val="Legal3"/>
        <w:numPr>
          <w:ilvl w:val="0"/>
          <w:numId w:val="5"/>
        </w:numPr>
        <w:spacing w:before="120" w:after="120"/>
        <w:ind w:left="1134" w:hanging="425"/>
      </w:pPr>
      <w:r>
        <w:t>Better damp proofing</w:t>
      </w:r>
    </w:p>
    <w:p w:rsidR="000073B1" w:rsidRDefault="000073B1" w:rsidP="000073B1">
      <w:pPr>
        <w:pStyle w:val="Legal3"/>
        <w:numPr>
          <w:ilvl w:val="0"/>
          <w:numId w:val="5"/>
        </w:numPr>
        <w:spacing w:before="120" w:after="120"/>
        <w:ind w:left="1134" w:hanging="425"/>
      </w:pPr>
      <w:r>
        <w:t>Better sound proofing</w:t>
      </w:r>
    </w:p>
    <w:p w:rsidR="000073B1" w:rsidRDefault="000073B1" w:rsidP="000073B1">
      <w:pPr>
        <w:pStyle w:val="Legal3"/>
        <w:numPr>
          <w:ilvl w:val="0"/>
          <w:numId w:val="5"/>
        </w:numPr>
        <w:spacing w:before="120" w:after="120"/>
        <w:ind w:left="1134" w:hanging="425"/>
      </w:pPr>
      <w:r>
        <w:t>Poor access routes</w:t>
      </w:r>
    </w:p>
    <w:p w:rsidR="000073B1" w:rsidRDefault="000073B1" w:rsidP="000073B1">
      <w:pPr>
        <w:pStyle w:val="Legal3"/>
        <w:numPr>
          <w:ilvl w:val="0"/>
          <w:numId w:val="5"/>
        </w:numPr>
        <w:spacing w:before="120" w:after="120"/>
        <w:ind w:left="1134" w:hanging="425"/>
      </w:pPr>
      <w:r>
        <w:t>Some / more outdoor space</w:t>
      </w:r>
    </w:p>
    <w:p w:rsidR="000073B1" w:rsidRDefault="000073B1" w:rsidP="000073B1">
      <w:pPr>
        <w:pStyle w:val="Legal3"/>
        <w:numPr>
          <w:ilvl w:val="0"/>
          <w:numId w:val="5"/>
        </w:numPr>
        <w:spacing w:before="120" w:after="120"/>
        <w:ind w:left="1134" w:hanging="425"/>
      </w:pPr>
      <w:r>
        <w:t>No smoking in communal areas of flats</w:t>
      </w:r>
    </w:p>
    <w:p w:rsidR="000073B1" w:rsidRDefault="000073B1" w:rsidP="000073B1">
      <w:pPr>
        <w:pStyle w:val="Legal3"/>
        <w:numPr>
          <w:ilvl w:val="0"/>
          <w:numId w:val="5"/>
        </w:numPr>
        <w:spacing w:before="120" w:after="120"/>
        <w:ind w:left="1134" w:hanging="425"/>
      </w:pPr>
      <w:r>
        <w:t>Currently living in accommodation with shared kitchen / bathroom etc. – require own private accommodation</w:t>
      </w:r>
      <w:r w:rsidR="00E52CD9">
        <w:t>.</w:t>
      </w:r>
    </w:p>
    <w:p w:rsidR="000C3469" w:rsidRPr="000C3469" w:rsidRDefault="000C3469" w:rsidP="000C3469">
      <w:pPr>
        <w:pStyle w:val="Legal3"/>
        <w:spacing w:before="120" w:after="120"/>
        <w:ind w:left="709" w:hanging="709"/>
        <w:rPr>
          <w:color w:val="000000"/>
        </w:rPr>
      </w:pPr>
      <w:r w:rsidRPr="000C3469">
        <w:rPr>
          <w:color w:val="000000"/>
        </w:rPr>
        <w:t>Although only based on small sample sizes, we can analyse the data collected in the HNS2012 to determine whether there are any specific issues driving dissatisfaction with any particular tenure type. For example</w:t>
      </w:r>
      <w:r w:rsidR="00E52CD9">
        <w:rPr>
          <w:color w:val="000000"/>
        </w:rPr>
        <w:t>,</w:t>
      </w:r>
      <w:r w:rsidRPr="000C3469">
        <w:rPr>
          <w:color w:val="000000"/>
        </w:rPr>
        <w:t xml:space="preserve"> </w:t>
      </w:r>
      <w:r w:rsidR="00E52CD9">
        <w:rPr>
          <w:color w:val="000000"/>
        </w:rPr>
        <w:t>o</w:t>
      </w:r>
      <w:r w:rsidR="00E52CD9" w:rsidRPr="000C3469">
        <w:rPr>
          <w:color w:val="000000"/>
        </w:rPr>
        <w:t xml:space="preserve">f </w:t>
      </w:r>
      <w:r w:rsidRPr="000C3469">
        <w:rPr>
          <w:color w:val="000000"/>
        </w:rPr>
        <w:t xml:space="preserve">the 57.1% of housing association </w:t>
      </w:r>
      <w:r w:rsidR="009A2391">
        <w:rPr>
          <w:color w:val="000000"/>
        </w:rPr>
        <w:t>respondent</w:t>
      </w:r>
      <w:r w:rsidRPr="000C3469">
        <w:rPr>
          <w:color w:val="000000"/>
        </w:rPr>
        <w:t>s that expressed dissatisfaction with their property – the main improvements that were cited as being needed were; improved heating / insulation and repairs being completed</w:t>
      </w:r>
      <w:r>
        <w:rPr>
          <w:color w:val="000000"/>
        </w:rPr>
        <w:t>.</w:t>
      </w:r>
    </w:p>
    <w:p w:rsidR="000C3469" w:rsidRPr="000C3469" w:rsidRDefault="000C3469" w:rsidP="000C3469">
      <w:pPr>
        <w:pStyle w:val="Legal3"/>
        <w:spacing w:before="120" w:after="120"/>
        <w:ind w:left="709" w:hanging="709"/>
        <w:rPr>
          <w:color w:val="000000"/>
        </w:rPr>
      </w:pPr>
      <w:r>
        <w:rPr>
          <w:color w:val="000000"/>
        </w:rPr>
        <w:t xml:space="preserve">Individuals living in council housing properties, who cited </w:t>
      </w:r>
      <w:r w:rsidR="00FE3631">
        <w:rPr>
          <w:color w:val="000000"/>
        </w:rPr>
        <w:t>dissatisfaction,</w:t>
      </w:r>
      <w:r>
        <w:rPr>
          <w:color w:val="000000"/>
        </w:rPr>
        <w:t xml:space="preserve"> did not provide additional information on the reasons.</w:t>
      </w:r>
    </w:p>
    <w:p w:rsidR="00F2496F" w:rsidRPr="00F2496F" w:rsidRDefault="00F2496F" w:rsidP="00F2496F">
      <w:pPr>
        <w:pStyle w:val="Legal2"/>
        <w:numPr>
          <w:ilvl w:val="1"/>
          <w:numId w:val="3"/>
        </w:numPr>
        <w:tabs>
          <w:tab w:val="clear" w:pos="2340"/>
          <w:tab w:val="num" w:pos="709"/>
        </w:tabs>
        <w:spacing w:before="120" w:after="120"/>
        <w:ind w:left="709" w:hanging="709"/>
        <w:rPr>
          <w:b/>
          <w:color w:val="403152" w:themeColor="accent4" w:themeShade="80"/>
        </w:rPr>
      </w:pPr>
      <w:r w:rsidRPr="00F2496F">
        <w:rPr>
          <w:b/>
          <w:color w:val="403152" w:themeColor="accent4" w:themeShade="80"/>
        </w:rPr>
        <w:t>Housing need</w:t>
      </w:r>
    </w:p>
    <w:p w:rsidR="00FB61BB" w:rsidRPr="00D82E3F" w:rsidRDefault="00FB61BB" w:rsidP="00FB61BB">
      <w:pPr>
        <w:pStyle w:val="Legal3"/>
        <w:spacing w:before="120" w:after="120"/>
        <w:ind w:left="709" w:hanging="709"/>
      </w:pPr>
      <w:r>
        <w:t xml:space="preserve">Closely </w:t>
      </w:r>
      <w:r w:rsidRPr="00D82E3F">
        <w:t>linked to th</w:t>
      </w:r>
      <w:r w:rsidR="00FE3631" w:rsidRPr="00D82E3F">
        <w:t>e</w:t>
      </w:r>
      <w:r w:rsidRPr="00D82E3F">
        <w:t xml:space="preserve"> finding</w:t>
      </w:r>
      <w:r w:rsidR="00E52CD9" w:rsidRPr="00D82E3F">
        <w:t>s</w:t>
      </w:r>
      <w:r w:rsidRPr="00D82E3F">
        <w:t xml:space="preserve"> on levels of dissatisfaction with current accommodation, the HNS2012 survey also found that 52.7% of </w:t>
      </w:r>
      <w:r w:rsidR="009A2391">
        <w:t>respondent</w:t>
      </w:r>
      <w:r w:rsidRPr="00D82E3F">
        <w:t>s are currently looking for alternative accommodation.</w:t>
      </w:r>
    </w:p>
    <w:p w:rsidR="00FB61BB" w:rsidRPr="00D82E3F" w:rsidRDefault="00FB61BB" w:rsidP="00FB61BB">
      <w:pPr>
        <w:pStyle w:val="Legal3"/>
        <w:spacing w:before="120" w:after="120"/>
        <w:ind w:left="709" w:hanging="709"/>
      </w:pPr>
      <w:r w:rsidRPr="00D82E3F">
        <w:t xml:space="preserve">Unsurprisingly, as can be seen in Figure </w:t>
      </w:r>
      <w:r w:rsidR="00D82E3F" w:rsidRPr="00D82E3F">
        <w:t xml:space="preserve">13 </w:t>
      </w:r>
      <w:r w:rsidRPr="00D82E3F">
        <w:t xml:space="preserve">below, of those respondents who stated that they were currently looking for new accommodation 73.3% commented that </w:t>
      </w:r>
      <w:r w:rsidR="00976024">
        <w:t xml:space="preserve">they </w:t>
      </w:r>
      <w:r w:rsidRPr="00D82E3F">
        <w:t xml:space="preserve">are aiming to move in the near future. </w:t>
      </w:r>
    </w:p>
    <w:p w:rsidR="00FB61BB" w:rsidRPr="00D82E3F" w:rsidRDefault="00FB61BB" w:rsidP="00FB61BB">
      <w:pPr>
        <w:pStyle w:val="Legal3"/>
        <w:spacing w:before="120" w:after="120"/>
        <w:ind w:left="709" w:hanging="709"/>
      </w:pPr>
      <w:r w:rsidRPr="00D82E3F">
        <w:t>A further 23.3% are aiming to move within 3 years and a minority of 3.3% hope to move within 10 years.</w:t>
      </w:r>
    </w:p>
    <w:p w:rsidR="00FB61BB" w:rsidRPr="00D82E3F" w:rsidRDefault="00FB61BB" w:rsidP="00FB61BB">
      <w:pPr>
        <w:pStyle w:val="Legal3"/>
        <w:spacing w:before="120" w:after="120"/>
        <w:ind w:left="709" w:hanging="709"/>
      </w:pPr>
      <w:r w:rsidRPr="00D82E3F">
        <w:t xml:space="preserve">To further explore the needs of those respondents who started that they were currently looking for new accommodation, the HNS2012 asked a further question on what accommodation those individuals were looking to move into. The results of this question are detailed in Figure </w:t>
      </w:r>
      <w:r w:rsidR="00D82E3F" w:rsidRPr="00D82E3F">
        <w:t>13</w:t>
      </w:r>
      <w:r w:rsidRPr="00D82E3F">
        <w:t xml:space="preserve"> below.</w:t>
      </w: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976024" w:rsidRDefault="00976024" w:rsidP="00FB61BB">
      <w:pPr>
        <w:pStyle w:val="Legal3"/>
        <w:numPr>
          <w:ilvl w:val="0"/>
          <w:numId w:val="0"/>
        </w:numPr>
        <w:tabs>
          <w:tab w:val="left" w:pos="851"/>
        </w:tabs>
        <w:spacing w:before="120" w:after="120"/>
        <w:ind w:left="851" w:hanging="851"/>
        <w:rPr>
          <w:b/>
          <w:sz w:val="18"/>
          <w:szCs w:val="18"/>
        </w:rPr>
      </w:pPr>
    </w:p>
    <w:p w:rsidR="00FB61BB" w:rsidRPr="00FB61BB" w:rsidRDefault="00FB61BB" w:rsidP="00FB61BB">
      <w:pPr>
        <w:pStyle w:val="Legal3"/>
        <w:numPr>
          <w:ilvl w:val="0"/>
          <w:numId w:val="0"/>
        </w:numPr>
        <w:tabs>
          <w:tab w:val="left" w:pos="851"/>
        </w:tabs>
        <w:spacing w:before="120" w:after="120"/>
        <w:ind w:left="851" w:hanging="851"/>
        <w:rPr>
          <w:b/>
          <w:sz w:val="18"/>
          <w:szCs w:val="18"/>
        </w:rPr>
      </w:pPr>
      <w:r w:rsidRPr="00FB61BB">
        <w:rPr>
          <w:b/>
          <w:sz w:val="18"/>
          <w:szCs w:val="18"/>
        </w:rPr>
        <w:t xml:space="preserve">Figure </w:t>
      </w:r>
      <w:r w:rsidR="00D82E3F">
        <w:rPr>
          <w:b/>
          <w:sz w:val="18"/>
          <w:szCs w:val="18"/>
        </w:rPr>
        <w:t>13</w:t>
      </w:r>
      <w:r w:rsidRPr="00FB61BB">
        <w:rPr>
          <w:b/>
          <w:sz w:val="18"/>
          <w:szCs w:val="18"/>
        </w:rPr>
        <w:t xml:space="preserve">: What </w:t>
      </w:r>
      <w:r>
        <w:rPr>
          <w:b/>
          <w:sz w:val="18"/>
          <w:szCs w:val="18"/>
        </w:rPr>
        <w:t>type of accommodation are you looking for?</w:t>
      </w:r>
    </w:p>
    <w:p w:rsidR="00FB61BB" w:rsidRDefault="00F2496F" w:rsidP="00FB61BB">
      <w:pPr>
        <w:pStyle w:val="Legal3"/>
        <w:numPr>
          <w:ilvl w:val="0"/>
          <w:numId w:val="0"/>
        </w:numPr>
        <w:spacing w:before="120" w:after="120"/>
        <w:ind w:left="709"/>
        <w:rPr>
          <w:color w:val="000000"/>
        </w:rPr>
      </w:pPr>
      <w:r>
        <w:rPr>
          <w:noProof/>
          <w:lang w:eastAsia="en-GB"/>
        </w:rPr>
        <w:drawing>
          <wp:inline distT="0" distB="0" distL="0" distR="0">
            <wp:extent cx="4572000" cy="2336800"/>
            <wp:effectExtent l="0" t="0" r="19050" b="254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B61BB" w:rsidRPr="00D82E3F" w:rsidRDefault="00FB61BB" w:rsidP="00FB61BB">
      <w:pPr>
        <w:pStyle w:val="Legal3"/>
        <w:spacing w:before="120" w:after="120"/>
        <w:ind w:left="709" w:hanging="709"/>
      </w:pPr>
      <w:r w:rsidRPr="00D82E3F">
        <w:t xml:space="preserve">Figure </w:t>
      </w:r>
      <w:r w:rsidR="00D82E3F" w:rsidRPr="00D82E3F">
        <w:t>14</w:t>
      </w:r>
      <w:r w:rsidRPr="00D82E3F">
        <w:t xml:space="preserve"> s</w:t>
      </w:r>
      <w:r w:rsidR="00F2496F" w:rsidRPr="00D82E3F">
        <w:t>hows that the two most popular types of accommodation for those looking to move are properties that are either rented from the Duchy or from the Council. Both these options attracted 21.6% of respondents. A further 19.3% of respondents are keen to rent from a housing association and 17.0% are keen to access privately rented accommodation.</w:t>
      </w:r>
    </w:p>
    <w:p w:rsidR="00F2496F" w:rsidRDefault="00F2496F" w:rsidP="00FB61BB">
      <w:pPr>
        <w:pStyle w:val="Legal3"/>
        <w:spacing w:before="120" w:after="120"/>
        <w:ind w:left="709" w:hanging="709"/>
        <w:rPr>
          <w:color w:val="000000"/>
        </w:rPr>
      </w:pPr>
      <w:r w:rsidRPr="00D82E3F">
        <w:t xml:space="preserve">We also asked where those looking </w:t>
      </w:r>
      <w:r>
        <w:rPr>
          <w:color w:val="000000"/>
        </w:rPr>
        <w:t>to move, would like to move to. We found:</w:t>
      </w:r>
    </w:p>
    <w:p w:rsidR="00F2496F" w:rsidRDefault="00F2496F" w:rsidP="00F2496F">
      <w:pPr>
        <w:pStyle w:val="Legal3"/>
        <w:numPr>
          <w:ilvl w:val="0"/>
          <w:numId w:val="5"/>
        </w:numPr>
        <w:spacing w:before="120" w:after="120"/>
        <w:ind w:left="1134" w:hanging="425"/>
        <w:rPr>
          <w:color w:val="000000"/>
        </w:rPr>
      </w:pPr>
      <w:r>
        <w:rPr>
          <w:color w:val="000000"/>
        </w:rPr>
        <w:t>77.8% of respondents would like to move into accommodation on St Mary’s</w:t>
      </w:r>
    </w:p>
    <w:p w:rsidR="00F2496F" w:rsidRDefault="00F2496F" w:rsidP="00F2496F">
      <w:pPr>
        <w:pStyle w:val="Legal3"/>
        <w:numPr>
          <w:ilvl w:val="0"/>
          <w:numId w:val="5"/>
        </w:numPr>
        <w:spacing w:before="120" w:after="120"/>
        <w:ind w:left="1134" w:hanging="425"/>
        <w:rPr>
          <w:color w:val="000000"/>
        </w:rPr>
      </w:pPr>
      <w:r>
        <w:rPr>
          <w:color w:val="000000"/>
        </w:rPr>
        <w:t>11.1% to St Agnes</w:t>
      </w:r>
    </w:p>
    <w:p w:rsidR="00F2496F" w:rsidRDefault="00F2496F" w:rsidP="00F2496F">
      <w:pPr>
        <w:pStyle w:val="Legal3"/>
        <w:numPr>
          <w:ilvl w:val="0"/>
          <w:numId w:val="5"/>
        </w:numPr>
        <w:spacing w:before="120" w:after="120"/>
        <w:ind w:left="1134" w:hanging="425"/>
        <w:rPr>
          <w:color w:val="000000"/>
        </w:rPr>
      </w:pPr>
      <w:r>
        <w:rPr>
          <w:color w:val="000000"/>
        </w:rPr>
        <w:t>4.4% to Bryher and 4.4% to St Martin’s</w:t>
      </w:r>
    </w:p>
    <w:p w:rsidR="00F2496F" w:rsidRDefault="00F2496F" w:rsidP="00F2496F">
      <w:pPr>
        <w:pStyle w:val="Legal3"/>
        <w:numPr>
          <w:ilvl w:val="0"/>
          <w:numId w:val="5"/>
        </w:numPr>
        <w:spacing w:before="120" w:after="120"/>
        <w:ind w:left="1134" w:hanging="425"/>
        <w:rPr>
          <w:color w:val="000000"/>
        </w:rPr>
      </w:pPr>
      <w:r>
        <w:rPr>
          <w:color w:val="000000"/>
        </w:rPr>
        <w:t>2.2% would move to any island</w:t>
      </w:r>
    </w:p>
    <w:p w:rsidR="00F2496F" w:rsidRDefault="00F2496F" w:rsidP="00F2496F">
      <w:pPr>
        <w:pStyle w:val="Legal3"/>
        <w:numPr>
          <w:ilvl w:val="0"/>
          <w:numId w:val="5"/>
        </w:numPr>
        <w:spacing w:before="120" w:after="120"/>
        <w:ind w:left="1134" w:hanging="425"/>
        <w:rPr>
          <w:color w:val="000000"/>
        </w:rPr>
      </w:pPr>
      <w:r>
        <w:rPr>
          <w:color w:val="000000"/>
        </w:rPr>
        <w:t>No respondents stated they would like to move to Tresco or the mainland</w:t>
      </w:r>
      <w:r w:rsidR="00E52CD9">
        <w:rPr>
          <w:color w:val="000000"/>
        </w:rPr>
        <w:t>.</w:t>
      </w:r>
    </w:p>
    <w:p w:rsidR="00F2496F" w:rsidRDefault="00F2496F" w:rsidP="00F2496F">
      <w:pPr>
        <w:pStyle w:val="Legal3"/>
        <w:spacing w:before="120" w:after="120"/>
        <w:ind w:left="709" w:hanging="709"/>
        <w:rPr>
          <w:color w:val="000000"/>
        </w:rPr>
      </w:pPr>
      <w:r>
        <w:rPr>
          <w:color w:val="000000"/>
        </w:rPr>
        <w:t>St Mary’s is clearly the preferred destination of respondents (with 35 respondents stating that is their preferred place to live) to the HNS2012. This perhaps also reflects the fact that 80.0% of the survey respondents already live on St Mary’s. Of those 77.8% of respondents who stated that they’d like to move to accommodation on St Mary</w:t>
      </w:r>
      <w:r w:rsidR="00976024">
        <w:rPr>
          <w:color w:val="000000"/>
        </w:rPr>
        <w:t>’s</w:t>
      </w:r>
      <w:r>
        <w:rPr>
          <w:color w:val="000000"/>
        </w:rPr>
        <w:t>, there was a fairly even split as to where on the island they would like to live, as can be seen in Figure 8 below.</w:t>
      </w:r>
    </w:p>
    <w:p w:rsidR="00F2496F" w:rsidRPr="00F2496F" w:rsidRDefault="00F2496F" w:rsidP="00F2496F">
      <w:pPr>
        <w:pStyle w:val="Legal3"/>
        <w:numPr>
          <w:ilvl w:val="0"/>
          <w:numId w:val="0"/>
        </w:numPr>
        <w:tabs>
          <w:tab w:val="left" w:pos="851"/>
        </w:tabs>
        <w:spacing w:before="120" w:after="120"/>
        <w:ind w:left="851" w:hanging="851"/>
        <w:rPr>
          <w:b/>
          <w:sz w:val="18"/>
          <w:szCs w:val="18"/>
        </w:rPr>
      </w:pPr>
      <w:r w:rsidRPr="00F2496F">
        <w:rPr>
          <w:b/>
          <w:sz w:val="18"/>
          <w:szCs w:val="18"/>
        </w:rPr>
        <w:t xml:space="preserve">Figure </w:t>
      </w:r>
      <w:r w:rsidR="00D82E3F">
        <w:rPr>
          <w:b/>
          <w:sz w:val="18"/>
          <w:szCs w:val="18"/>
        </w:rPr>
        <w:t>15</w:t>
      </w:r>
      <w:r w:rsidRPr="00F2496F">
        <w:rPr>
          <w:b/>
          <w:sz w:val="18"/>
          <w:szCs w:val="18"/>
        </w:rPr>
        <w:t xml:space="preserve">: </w:t>
      </w:r>
      <w:r>
        <w:rPr>
          <w:b/>
          <w:sz w:val="18"/>
          <w:szCs w:val="18"/>
        </w:rPr>
        <w:t>Which part of St Mary’s would respondents like to live?</w:t>
      </w:r>
    </w:p>
    <w:p w:rsidR="00F2496F" w:rsidRDefault="00F2496F" w:rsidP="00F2496F">
      <w:pPr>
        <w:pStyle w:val="Legal3"/>
        <w:numPr>
          <w:ilvl w:val="0"/>
          <w:numId w:val="0"/>
        </w:numPr>
        <w:spacing w:before="120" w:after="120"/>
        <w:ind w:left="709"/>
        <w:rPr>
          <w:color w:val="000000"/>
        </w:rPr>
      </w:pPr>
      <w:r>
        <w:rPr>
          <w:noProof/>
          <w:lang w:eastAsia="en-GB"/>
        </w:rPr>
        <w:drawing>
          <wp:inline distT="0" distB="0" distL="0" distR="0">
            <wp:extent cx="4572000" cy="18669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2496F" w:rsidRDefault="00F2496F" w:rsidP="00F2496F">
      <w:pPr>
        <w:pStyle w:val="Legal3"/>
        <w:spacing w:before="120" w:after="120"/>
        <w:ind w:left="709" w:hanging="709"/>
        <w:rPr>
          <w:color w:val="000000"/>
        </w:rPr>
      </w:pPr>
      <w:r>
        <w:rPr>
          <w:color w:val="000000"/>
        </w:rPr>
        <w:lastRenderedPageBreak/>
        <w:t>Of the 36.1% of respondents who stated ‘Other’ to the above, the majority backed that up with a statement saying that they would be happy to live anywhere on St Mary’s. A few commented that they’d prefer somewhere out of town and two stated that they’d li</w:t>
      </w:r>
      <w:r w:rsidR="00976024">
        <w:rPr>
          <w:color w:val="000000"/>
        </w:rPr>
        <w:t>ke to li</w:t>
      </w:r>
      <w:r>
        <w:rPr>
          <w:color w:val="000000"/>
        </w:rPr>
        <w:t>ve in Holy Vale.</w:t>
      </w:r>
    </w:p>
    <w:p w:rsidR="00063A94" w:rsidRDefault="00063A94" w:rsidP="00F2496F">
      <w:pPr>
        <w:pStyle w:val="Legal3"/>
        <w:spacing w:before="120" w:after="120"/>
        <w:ind w:left="709" w:hanging="709"/>
        <w:rPr>
          <w:color w:val="000000"/>
        </w:rPr>
      </w:pPr>
      <w:r w:rsidRPr="00D82E3F">
        <w:t xml:space="preserve">Figure </w:t>
      </w:r>
      <w:r w:rsidR="00D82E3F" w:rsidRPr="00D82E3F">
        <w:t>16</w:t>
      </w:r>
      <w:r w:rsidRPr="00D82E3F">
        <w:t xml:space="preserve"> below presents the findings from a specific question, to those who are looking for new accommodation</w:t>
      </w:r>
      <w:r>
        <w:rPr>
          <w:color w:val="000000"/>
        </w:rPr>
        <w:t>, on wh</w:t>
      </w:r>
      <w:r w:rsidR="00E52CD9">
        <w:rPr>
          <w:color w:val="000000"/>
        </w:rPr>
        <w:t>ich</w:t>
      </w:r>
      <w:r>
        <w:rPr>
          <w:color w:val="000000"/>
        </w:rPr>
        <w:t xml:space="preserve"> type of property they require.</w:t>
      </w:r>
    </w:p>
    <w:p w:rsidR="00063A94" w:rsidRPr="00107011" w:rsidRDefault="00063A94" w:rsidP="00063A94">
      <w:pPr>
        <w:pStyle w:val="Legal3"/>
        <w:numPr>
          <w:ilvl w:val="0"/>
          <w:numId w:val="0"/>
        </w:numPr>
        <w:tabs>
          <w:tab w:val="left" w:pos="851"/>
        </w:tabs>
        <w:spacing w:before="120" w:after="120"/>
        <w:ind w:left="851" w:hanging="851"/>
        <w:rPr>
          <w:b/>
          <w:i/>
          <w:sz w:val="18"/>
          <w:szCs w:val="18"/>
        </w:rPr>
      </w:pPr>
      <w:r w:rsidRPr="00063A94">
        <w:rPr>
          <w:b/>
          <w:sz w:val="18"/>
          <w:szCs w:val="18"/>
        </w:rPr>
        <w:t xml:space="preserve">Figure </w:t>
      </w:r>
      <w:r w:rsidR="00D82E3F">
        <w:rPr>
          <w:b/>
          <w:sz w:val="18"/>
          <w:szCs w:val="18"/>
        </w:rPr>
        <w:t>16</w:t>
      </w:r>
      <w:r w:rsidRPr="00063A94">
        <w:rPr>
          <w:b/>
          <w:sz w:val="18"/>
          <w:szCs w:val="18"/>
        </w:rPr>
        <w:t xml:space="preserve">: </w:t>
      </w:r>
      <w:r w:rsidR="00D82E3F">
        <w:rPr>
          <w:b/>
          <w:sz w:val="18"/>
          <w:szCs w:val="18"/>
        </w:rPr>
        <w:t>What type of property do you require?</w:t>
      </w:r>
    </w:p>
    <w:p w:rsidR="00063A94" w:rsidRDefault="00063A94" w:rsidP="00063A94">
      <w:pPr>
        <w:pStyle w:val="Legal3"/>
        <w:numPr>
          <w:ilvl w:val="0"/>
          <w:numId w:val="0"/>
        </w:numPr>
        <w:spacing w:before="120" w:after="120"/>
        <w:ind w:left="709"/>
        <w:rPr>
          <w:color w:val="000000"/>
        </w:rPr>
      </w:pPr>
      <w:r>
        <w:rPr>
          <w:noProof/>
          <w:lang w:eastAsia="en-GB"/>
        </w:rPr>
        <w:drawing>
          <wp:inline distT="0" distB="0" distL="0" distR="0">
            <wp:extent cx="4572000" cy="2349500"/>
            <wp:effectExtent l="0" t="0" r="1905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63A94" w:rsidRDefault="00063A94" w:rsidP="00F2496F">
      <w:pPr>
        <w:pStyle w:val="Legal3"/>
        <w:spacing w:before="120" w:after="120"/>
        <w:ind w:left="709" w:hanging="709"/>
        <w:rPr>
          <w:color w:val="000000"/>
        </w:rPr>
      </w:pPr>
      <w:r>
        <w:rPr>
          <w:color w:val="000000"/>
        </w:rPr>
        <w:t xml:space="preserve">40.9% of respondents </w:t>
      </w:r>
      <w:r w:rsidR="00FE3631">
        <w:rPr>
          <w:color w:val="000000"/>
        </w:rPr>
        <w:t xml:space="preserve">who want to move to St Mary’s, </w:t>
      </w:r>
      <w:r>
        <w:rPr>
          <w:color w:val="000000"/>
        </w:rPr>
        <w:t>would like to move into a house</w:t>
      </w:r>
      <w:r w:rsidR="00FE3631">
        <w:rPr>
          <w:color w:val="000000"/>
        </w:rPr>
        <w:t>,</w:t>
      </w:r>
      <w:r>
        <w:rPr>
          <w:color w:val="000000"/>
        </w:rPr>
        <w:t xml:space="preserve"> 31.8% stat</w:t>
      </w:r>
      <w:r w:rsidR="00FE3631">
        <w:rPr>
          <w:color w:val="000000"/>
        </w:rPr>
        <w:t>ed</w:t>
      </w:r>
      <w:r>
        <w:rPr>
          <w:color w:val="000000"/>
        </w:rPr>
        <w:t xml:space="preserve"> that they had no specific preference for the type of property they’d like to live in. A minority of respondents selected the flat / maisonette and bungalow options. </w:t>
      </w:r>
    </w:p>
    <w:p w:rsidR="00063A94" w:rsidRDefault="00063A94" w:rsidP="00F2496F">
      <w:pPr>
        <w:pStyle w:val="Legal3"/>
        <w:spacing w:before="120" w:after="120"/>
        <w:ind w:left="709" w:hanging="709"/>
        <w:rPr>
          <w:color w:val="000000"/>
        </w:rPr>
      </w:pPr>
      <w:r>
        <w:rPr>
          <w:color w:val="000000"/>
        </w:rPr>
        <w:t xml:space="preserve">Perhaps surprisingly no respondents stated that they have a specific need for housing that is appropriate for a disabled or older person. This may be a reflection of the small sample </w:t>
      </w:r>
      <w:r w:rsidR="00C77D77">
        <w:rPr>
          <w:color w:val="000000"/>
        </w:rPr>
        <w:t>size.</w:t>
      </w:r>
    </w:p>
    <w:p w:rsidR="00063A94" w:rsidRDefault="00063A94" w:rsidP="00F2496F">
      <w:pPr>
        <w:pStyle w:val="Legal3"/>
        <w:spacing w:before="120" w:after="120"/>
        <w:ind w:left="709" w:hanging="709"/>
        <w:rPr>
          <w:color w:val="000000"/>
        </w:rPr>
      </w:pPr>
      <w:r>
        <w:rPr>
          <w:color w:val="000000"/>
        </w:rPr>
        <w:t>Four of the six respondents who answered ‘Other’ to the above, stated that they’d be happy with either a house or a bungalow. One respondent stated that they would like somewhere with a garde</w:t>
      </w:r>
      <w:r w:rsidR="005F4469">
        <w:rPr>
          <w:color w:val="000000"/>
        </w:rPr>
        <w:t>n. T</w:t>
      </w:r>
      <w:r>
        <w:rPr>
          <w:color w:val="000000"/>
        </w:rPr>
        <w:t>he final respondent would like a property with space to store a pram at ground level.</w:t>
      </w:r>
    </w:p>
    <w:p w:rsidR="00063A94" w:rsidRDefault="00063A94" w:rsidP="00F2496F">
      <w:pPr>
        <w:pStyle w:val="Legal3"/>
        <w:spacing w:before="120" w:after="120"/>
        <w:ind w:left="709" w:hanging="709"/>
        <w:rPr>
          <w:color w:val="000000"/>
        </w:rPr>
      </w:pPr>
      <w:r>
        <w:rPr>
          <w:color w:val="000000"/>
        </w:rPr>
        <w:t xml:space="preserve">Finally the HNS2012 also </w:t>
      </w:r>
      <w:r w:rsidRPr="00D82E3F">
        <w:t xml:space="preserve">asked respondents what size of property they would like to move into. The results are presented in Figure </w:t>
      </w:r>
      <w:r w:rsidR="00D82E3F" w:rsidRPr="00D82E3F">
        <w:t>17</w:t>
      </w:r>
      <w:r w:rsidRPr="00D82E3F">
        <w:t xml:space="preserve"> below.</w:t>
      </w:r>
    </w:p>
    <w:p w:rsidR="00063A94" w:rsidRPr="00107011" w:rsidRDefault="00063A94" w:rsidP="00063A94">
      <w:pPr>
        <w:pStyle w:val="Legal3"/>
        <w:numPr>
          <w:ilvl w:val="0"/>
          <w:numId w:val="0"/>
        </w:numPr>
        <w:tabs>
          <w:tab w:val="left" w:pos="851"/>
        </w:tabs>
        <w:spacing w:before="120" w:after="120"/>
        <w:ind w:left="851" w:hanging="851"/>
        <w:rPr>
          <w:b/>
          <w:i/>
          <w:sz w:val="18"/>
          <w:szCs w:val="18"/>
        </w:rPr>
      </w:pPr>
      <w:r w:rsidRPr="00D82E3F">
        <w:rPr>
          <w:b/>
          <w:sz w:val="18"/>
          <w:szCs w:val="18"/>
        </w:rPr>
        <w:t xml:space="preserve">Figure </w:t>
      </w:r>
      <w:r w:rsidR="00D82E3F" w:rsidRPr="00D82E3F">
        <w:rPr>
          <w:b/>
          <w:sz w:val="18"/>
          <w:szCs w:val="18"/>
        </w:rPr>
        <w:t>17</w:t>
      </w:r>
      <w:r w:rsidRPr="00D82E3F">
        <w:rPr>
          <w:b/>
          <w:sz w:val="18"/>
          <w:szCs w:val="18"/>
        </w:rPr>
        <w:t xml:space="preserve">: </w:t>
      </w:r>
      <w:r w:rsidR="00D82E3F" w:rsidRPr="00D82E3F">
        <w:rPr>
          <w:b/>
          <w:sz w:val="18"/>
          <w:szCs w:val="18"/>
        </w:rPr>
        <w:t>What size of property would you like to move into?</w:t>
      </w:r>
    </w:p>
    <w:p w:rsidR="00063A94" w:rsidRPr="00FB61BB" w:rsidRDefault="00063A94" w:rsidP="00063A94">
      <w:pPr>
        <w:pStyle w:val="Legal3"/>
        <w:numPr>
          <w:ilvl w:val="0"/>
          <w:numId w:val="0"/>
        </w:numPr>
        <w:spacing w:before="120" w:after="120"/>
        <w:ind w:left="709"/>
        <w:rPr>
          <w:color w:val="000000"/>
        </w:rPr>
      </w:pPr>
      <w:r>
        <w:rPr>
          <w:noProof/>
          <w:lang w:eastAsia="en-GB"/>
        </w:rPr>
        <w:lastRenderedPageBreak/>
        <w:drawing>
          <wp:inline distT="0" distB="0" distL="0" distR="0">
            <wp:extent cx="4572000" cy="2146300"/>
            <wp:effectExtent l="0" t="0" r="19050" b="254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90BE2" w:rsidRDefault="00C77D77" w:rsidP="00C77D77">
      <w:pPr>
        <w:pStyle w:val="Legal3"/>
        <w:spacing w:before="120" w:after="120"/>
        <w:ind w:left="709" w:hanging="709"/>
        <w:rPr>
          <w:color w:val="000000"/>
        </w:rPr>
      </w:pPr>
      <w:r w:rsidRPr="00C77D77">
        <w:rPr>
          <w:color w:val="000000"/>
        </w:rPr>
        <w:t>Demand appears to be highest for two bedroom properties, with 56.8% of respondents stating that they’d like a property with at least two bedrooms.</w:t>
      </w:r>
    </w:p>
    <w:p w:rsidR="00C77D77" w:rsidRPr="00C77D77" w:rsidRDefault="00B90BE2" w:rsidP="00C77D77">
      <w:pPr>
        <w:pStyle w:val="Legal3"/>
        <w:spacing w:before="120" w:after="120"/>
        <w:ind w:left="709" w:hanging="709"/>
        <w:rPr>
          <w:color w:val="000000"/>
        </w:rPr>
      </w:pPr>
      <w:r>
        <w:rPr>
          <w:color w:val="000000"/>
        </w:rPr>
        <w:t xml:space="preserve">We have completed some further analysis on the data to </w:t>
      </w:r>
      <w:r w:rsidRPr="00D82E3F">
        <w:t xml:space="preserve">determine what sized properties respondents would like to move into on each of the islands. Figure </w:t>
      </w:r>
      <w:r w:rsidR="00D82E3F" w:rsidRPr="00D82E3F">
        <w:t>18</w:t>
      </w:r>
      <w:r w:rsidRPr="00D82E3F">
        <w:t xml:space="preserve"> below plots the number of bedrooms respondents would like to move in to, broken </w:t>
      </w:r>
      <w:r>
        <w:rPr>
          <w:color w:val="000000"/>
        </w:rPr>
        <w:t>down by their preferred location to live in.</w:t>
      </w:r>
      <w:r w:rsidR="00C77D77" w:rsidRPr="00C77D77">
        <w:rPr>
          <w:color w:val="000000"/>
        </w:rPr>
        <w:t xml:space="preserve"> </w:t>
      </w:r>
    </w:p>
    <w:p w:rsidR="00B90BE2" w:rsidRDefault="00B90BE2" w:rsidP="00B90BE2">
      <w:pPr>
        <w:pStyle w:val="Legal3"/>
        <w:numPr>
          <w:ilvl w:val="0"/>
          <w:numId w:val="0"/>
        </w:numPr>
        <w:tabs>
          <w:tab w:val="left" w:pos="851"/>
        </w:tabs>
        <w:spacing w:before="120" w:after="120"/>
        <w:ind w:left="851" w:hanging="851"/>
        <w:rPr>
          <w:b/>
          <w:sz w:val="18"/>
          <w:szCs w:val="18"/>
        </w:rPr>
      </w:pPr>
      <w:r w:rsidRPr="00B90BE2">
        <w:rPr>
          <w:b/>
          <w:sz w:val="18"/>
          <w:szCs w:val="18"/>
        </w:rPr>
        <w:t xml:space="preserve">Figure </w:t>
      </w:r>
      <w:r w:rsidR="00D82E3F">
        <w:rPr>
          <w:b/>
          <w:sz w:val="18"/>
          <w:szCs w:val="18"/>
        </w:rPr>
        <w:t>18</w:t>
      </w:r>
      <w:r w:rsidRPr="00B90BE2">
        <w:rPr>
          <w:b/>
          <w:sz w:val="18"/>
          <w:szCs w:val="18"/>
        </w:rPr>
        <w:t xml:space="preserve">: </w:t>
      </w:r>
      <w:r>
        <w:rPr>
          <w:b/>
          <w:sz w:val="18"/>
          <w:szCs w:val="18"/>
        </w:rPr>
        <w:t>Number of bedrooms by location</w:t>
      </w:r>
    </w:p>
    <w:p w:rsidR="00B90BE2" w:rsidRDefault="00B90BE2" w:rsidP="00B90BE2">
      <w:pPr>
        <w:pStyle w:val="Legal3"/>
        <w:numPr>
          <w:ilvl w:val="0"/>
          <w:numId w:val="0"/>
        </w:numPr>
        <w:tabs>
          <w:tab w:val="left" w:pos="851"/>
        </w:tabs>
        <w:spacing w:before="120" w:after="120"/>
        <w:ind w:left="851" w:hanging="142"/>
        <w:rPr>
          <w:b/>
          <w:sz w:val="18"/>
          <w:szCs w:val="18"/>
        </w:rPr>
      </w:pPr>
      <w:r>
        <w:rPr>
          <w:noProof/>
          <w:lang w:eastAsia="en-GB"/>
        </w:rPr>
        <w:drawing>
          <wp:inline distT="0" distB="0" distL="0" distR="0">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90BE2" w:rsidRPr="00D82E3F" w:rsidRDefault="00B90BE2" w:rsidP="00B90BE2">
      <w:pPr>
        <w:pStyle w:val="Legal3"/>
        <w:spacing w:before="120" w:after="120"/>
        <w:ind w:left="709" w:hanging="709"/>
      </w:pPr>
      <w:r>
        <w:rPr>
          <w:color w:val="000000"/>
        </w:rPr>
        <w:t xml:space="preserve">Some care should be </w:t>
      </w:r>
      <w:r w:rsidRPr="00D82E3F">
        <w:t>taken with the data presented in Figure * above as the sample sizes for Bryher, St Martin’s and St Agnes are small. The data for St Mary’s is however based on 35 responses, so will be slightly more robust.</w:t>
      </w:r>
    </w:p>
    <w:p w:rsidR="00B90BE2" w:rsidRPr="00D82E3F" w:rsidRDefault="00B90BE2" w:rsidP="00B90BE2">
      <w:pPr>
        <w:pStyle w:val="Legal3"/>
        <w:spacing w:before="120" w:after="120"/>
        <w:ind w:left="709" w:hanging="709"/>
      </w:pPr>
      <w:r w:rsidRPr="00D82E3F">
        <w:t>This analysis does show a clear need or desire for properties with 2 bed</w:t>
      </w:r>
      <w:r w:rsidR="00E01E48">
        <w:t>room</w:t>
      </w:r>
      <w:r w:rsidRPr="00D82E3F">
        <w:t>s on St Mary’s. The second most desirable property type is 3 bed</w:t>
      </w:r>
      <w:r w:rsidR="00E01E48">
        <w:t>room</w:t>
      </w:r>
      <w:r w:rsidRPr="00D82E3F">
        <w:t>s. This fits with comments made elsewhere in the survey that suggest there is a need for more housing appropriate for the needs of young families</w:t>
      </w:r>
      <w:r w:rsidR="00976024">
        <w:t xml:space="preserve"> or possibly for older people downsizing</w:t>
      </w:r>
      <w:r w:rsidRPr="00D82E3F">
        <w:t xml:space="preserve">. </w:t>
      </w:r>
    </w:p>
    <w:p w:rsidR="00B90BE2" w:rsidRDefault="00B90BE2" w:rsidP="00B90BE2">
      <w:pPr>
        <w:pStyle w:val="Legal3"/>
        <w:spacing w:before="120" w:after="120"/>
        <w:ind w:left="709" w:hanging="709"/>
        <w:rPr>
          <w:color w:val="000000"/>
        </w:rPr>
      </w:pPr>
      <w:r w:rsidRPr="00D82E3F">
        <w:t xml:space="preserve">We can complete similar analysis to determine what type of properties people </w:t>
      </w:r>
      <w:r>
        <w:rPr>
          <w:color w:val="000000"/>
        </w:rPr>
        <w:t>would like to see on each of the islands. As above however, the low sample sizes for the o</w:t>
      </w:r>
      <w:r w:rsidR="00976024">
        <w:rPr>
          <w:color w:val="000000"/>
        </w:rPr>
        <w:t>ff</w:t>
      </w:r>
      <w:r>
        <w:rPr>
          <w:color w:val="000000"/>
        </w:rPr>
        <w:t xml:space="preserve"> </w:t>
      </w:r>
      <w:r>
        <w:rPr>
          <w:color w:val="000000"/>
        </w:rPr>
        <w:lastRenderedPageBreak/>
        <w:t xml:space="preserve">islands limit the usefulness of this analysis. Figure </w:t>
      </w:r>
      <w:r w:rsidR="00D82E3F">
        <w:rPr>
          <w:color w:val="000000"/>
        </w:rPr>
        <w:t>19</w:t>
      </w:r>
      <w:r>
        <w:rPr>
          <w:color w:val="000000"/>
        </w:rPr>
        <w:t xml:space="preserve"> does though present the analysis for St Mary’s and is based on a sample size of 35.</w:t>
      </w:r>
    </w:p>
    <w:p w:rsidR="00B90BE2" w:rsidRPr="00B90BE2" w:rsidRDefault="00B90BE2" w:rsidP="00B90BE2">
      <w:pPr>
        <w:pStyle w:val="Legal3"/>
        <w:numPr>
          <w:ilvl w:val="0"/>
          <w:numId w:val="0"/>
        </w:numPr>
        <w:tabs>
          <w:tab w:val="left" w:pos="851"/>
        </w:tabs>
        <w:spacing w:before="120" w:after="120"/>
        <w:ind w:left="851" w:hanging="851"/>
        <w:rPr>
          <w:b/>
          <w:sz w:val="18"/>
          <w:szCs w:val="18"/>
        </w:rPr>
      </w:pPr>
      <w:r w:rsidRPr="00B90BE2">
        <w:rPr>
          <w:b/>
          <w:sz w:val="18"/>
          <w:szCs w:val="18"/>
        </w:rPr>
        <w:t xml:space="preserve">Figure </w:t>
      </w:r>
      <w:r w:rsidR="00D82E3F">
        <w:rPr>
          <w:b/>
          <w:sz w:val="18"/>
          <w:szCs w:val="18"/>
        </w:rPr>
        <w:t>19</w:t>
      </w:r>
      <w:r w:rsidRPr="00B90BE2">
        <w:rPr>
          <w:b/>
          <w:sz w:val="18"/>
          <w:szCs w:val="18"/>
        </w:rPr>
        <w:t xml:space="preserve">: </w:t>
      </w:r>
      <w:r>
        <w:rPr>
          <w:b/>
          <w:sz w:val="18"/>
          <w:szCs w:val="18"/>
        </w:rPr>
        <w:t>Type of properties required on St Mary’s</w:t>
      </w:r>
    </w:p>
    <w:p w:rsidR="00B90BE2" w:rsidRDefault="00B90BE2" w:rsidP="00B90BE2">
      <w:pPr>
        <w:pStyle w:val="Legal3"/>
        <w:numPr>
          <w:ilvl w:val="0"/>
          <w:numId w:val="0"/>
        </w:numPr>
        <w:spacing w:before="120" w:after="120"/>
        <w:ind w:left="851"/>
        <w:rPr>
          <w:color w:val="000000"/>
        </w:rPr>
      </w:pPr>
      <w:r>
        <w:rPr>
          <w:noProof/>
          <w:lang w:eastAsia="en-GB"/>
        </w:rPr>
        <w:drawing>
          <wp:inline distT="0" distB="0" distL="0" distR="0">
            <wp:extent cx="4572000" cy="1841500"/>
            <wp:effectExtent l="0" t="0" r="19050" b="254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90BE2" w:rsidRDefault="006566C9" w:rsidP="00B90BE2">
      <w:pPr>
        <w:pStyle w:val="Legal3"/>
        <w:spacing w:before="120" w:after="120"/>
        <w:ind w:left="709" w:hanging="709"/>
        <w:rPr>
          <w:color w:val="000000"/>
        </w:rPr>
      </w:pPr>
      <w:r>
        <w:rPr>
          <w:color w:val="000000"/>
        </w:rPr>
        <w:t>With 46% of the responses, the need for more houses on St Mary’s appears to be strongest. A further 29% of respondents did however state a preference for ‘Anything’ suggesting a further and potential deeper need for any type of housing on the IOS.</w:t>
      </w:r>
    </w:p>
    <w:p w:rsidR="006566C9" w:rsidRPr="00C77D77" w:rsidRDefault="006566C9" w:rsidP="00B90BE2">
      <w:pPr>
        <w:pStyle w:val="Legal3"/>
        <w:spacing w:before="120" w:after="120"/>
        <w:ind w:left="709" w:hanging="709"/>
        <w:rPr>
          <w:color w:val="000000"/>
        </w:rPr>
      </w:pPr>
      <w:r>
        <w:rPr>
          <w:color w:val="000000"/>
        </w:rPr>
        <w:t xml:space="preserve">No responses in this survey suggested that there is a need for housing for </w:t>
      </w:r>
      <w:proofErr w:type="gramStart"/>
      <w:r>
        <w:rPr>
          <w:color w:val="000000"/>
        </w:rPr>
        <w:t>disabled  people</w:t>
      </w:r>
      <w:proofErr w:type="gramEnd"/>
      <w:r>
        <w:rPr>
          <w:color w:val="000000"/>
        </w:rPr>
        <w:t xml:space="preserve"> on St Mary’s. This however is most likely due to the overall small response rate for the survey and more specific research on this area is recommended.</w:t>
      </w:r>
    </w:p>
    <w:p w:rsidR="00B90BE2" w:rsidRPr="00B90BE2" w:rsidRDefault="00B90BE2" w:rsidP="00B90BE2">
      <w:pPr>
        <w:pStyle w:val="Legal3"/>
        <w:numPr>
          <w:ilvl w:val="0"/>
          <w:numId w:val="0"/>
        </w:numPr>
        <w:tabs>
          <w:tab w:val="left" w:pos="851"/>
        </w:tabs>
        <w:spacing w:before="120" w:after="120"/>
        <w:ind w:left="851" w:hanging="851"/>
        <w:rPr>
          <w:b/>
          <w:sz w:val="18"/>
          <w:szCs w:val="18"/>
        </w:rPr>
      </w:pPr>
    </w:p>
    <w:p w:rsidR="00B90BE2" w:rsidRDefault="00B90BE2" w:rsidP="00B90BE2">
      <w:pPr>
        <w:pStyle w:val="Legal1"/>
        <w:numPr>
          <w:ilvl w:val="0"/>
          <w:numId w:val="0"/>
        </w:numPr>
        <w:tabs>
          <w:tab w:val="left" w:pos="709"/>
        </w:tabs>
        <w:spacing w:before="120" w:after="120"/>
        <w:ind w:left="709"/>
        <w:rPr>
          <w:color w:val="403152" w:themeColor="accent4" w:themeShade="80"/>
        </w:rPr>
      </w:pPr>
    </w:p>
    <w:p w:rsidR="00B90BE2" w:rsidRPr="00B90BE2" w:rsidRDefault="00B90BE2" w:rsidP="00B90BE2">
      <w:pPr>
        <w:pStyle w:val="Legal1"/>
        <w:numPr>
          <w:ilvl w:val="0"/>
          <w:numId w:val="0"/>
        </w:numPr>
        <w:tabs>
          <w:tab w:val="num" w:pos="709"/>
        </w:tabs>
        <w:spacing w:before="120" w:after="120"/>
        <w:rPr>
          <w:color w:val="403152" w:themeColor="accent4" w:themeShade="80"/>
        </w:rPr>
        <w:sectPr w:rsidR="00B90BE2" w:rsidRPr="00B90BE2" w:rsidSect="00D775D4">
          <w:pgSz w:w="11906" w:h="16838"/>
          <w:pgMar w:top="2268" w:right="1440" w:bottom="1418" w:left="1418" w:header="709" w:footer="709" w:gutter="0"/>
          <w:cols w:space="708"/>
          <w:docGrid w:linePitch="360"/>
        </w:sectPr>
      </w:pPr>
    </w:p>
    <w:p w:rsidR="00C77D77" w:rsidRPr="00C77D77" w:rsidRDefault="00D5055D" w:rsidP="00C77D77">
      <w:pPr>
        <w:pStyle w:val="Legal1"/>
        <w:numPr>
          <w:ilvl w:val="0"/>
          <w:numId w:val="3"/>
        </w:numPr>
        <w:spacing w:before="120" w:after="120"/>
        <w:rPr>
          <w:color w:val="403152"/>
          <w:sz w:val="24"/>
          <w:szCs w:val="24"/>
        </w:rPr>
      </w:pPr>
      <w:bookmarkStart w:id="7" w:name="_Toc343686379"/>
      <w:r>
        <w:rPr>
          <w:color w:val="403152"/>
          <w:sz w:val="24"/>
          <w:szCs w:val="24"/>
        </w:rPr>
        <w:lastRenderedPageBreak/>
        <w:t>I</w:t>
      </w:r>
      <w:r w:rsidR="00C77D77" w:rsidRPr="00C77D77">
        <w:rPr>
          <w:color w:val="403152"/>
          <w:sz w:val="24"/>
          <w:szCs w:val="24"/>
        </w:rPr>
        <w:t>ncome</w:t>
      </w:r>
      <w:r>
        <w:rPr>
          <w:color w:val="403152"/>
          <w:sz w:val="24"/>
          <w:szCs w:val="24"/>
        </w:rPr>
        <w:t xml:space="preserve"> and</w:t>
      </w:r>
      <w:r w:rsidR="00C77D77" w:rsidRPr="00C77D77">
        <w:rPr>
          <w:color w:val="403152"/>
          <w:sz w:val="24"/>
          <w:szCs w:val="24"/>
        </w:rPr>
        <w:t xml:space="preserve"> employment</w:t>
      </w:r>
      <w:r>
        <w:rPr>
          <w:color w:val="403152"/>
          <w:sz w:val="24"/>
          <w:szCs w:val="24"/>
        </w:rPr>
        <w:t>, housing costs</w:t>
      </w:r>
      <w:r w:rsidR="00C77D77" w:rsidRPr="00C77D77">
        <w:rPr>
          <w:color w:val="403152"/>
          <w:sz w:val="24"/>
          <w:szCs w:val="24"/>
        </w:rPr>
        <w:t xml:space="preserve"> and the housing register</w:t>
      </w:r>
      <w:bookmarkEnd w:id="7"/>
    </w:p>
    <w:p w:rsidR="00D5055D" w:rsidRPr="00DF4D66" w:rsidRDefault="00D5055D" w:rsidP="00D5055D">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Income and employment</w:t>
      </w:r>
    </w:p>
    <w:p w:rsidR="00D5055D" w:rsidRPr="00D82E3F" w:rsidRDefault="00990DAA" w:rsidP="00D5055D">
      <w:pPr>
        <w:pStyle w:val="Legal3"/>
        <w:spacing w:before="120" w:after="120"/>
        <w:ind w:left="709" w:hanging="709"/>
      </w:pPr>
      <w:r>
        <w:rPr>
          <w:color w:val="000000"/>
        </w:rPr>
        <w:t xml:space="preserve">In an attempt to understand levels of current income and affordability on IOS a series of questions were asked related to </w:t>
      </w:r>
      <w:r w:rsidRPr="00D82E3F">
        <w:t>respondent’s employment and income.</w:t>
      </w:r>
    </w:p>
    <w:p w:rsidR="00990DAA" w:rsidRPr="00990DAA" w:rsidRDefault="00990DAA" w:rsidP="00D5055D">
      <w:pPr>
        <w:pStyle w:val="Legal3"/>
        <w:spacing w:before="120" w:after="120"/>
        <w:ind w:left="709" w:hanging="709"/>
        <w:rPr>
          <w:color w:val="FF0000"/>
        </w:rPr>
      </w:pPr>
      <w:r w:rsidRPr="00D82E3F">
        <w:t xml:space="preserve">Figure </w:t>
      </w:r>
      <w:r w:rsidR="00D82E3F" w:rsidRPr="00D82E3F">
        <w:t>20</w:t>
      </w:r>
      <w:r w:rsidRPr="00D82E3F">
        <w:t xml:space="preserve"> below plots the levels of weekly net income (after tax, national insurance </w:t>
      </w:r>
      <w:r>
        <w:t xml:space="preserve">etc.) received by respondents and their partners. </w:t>
      </w:r>
    </w:p>
    <w:p w:rsidR="00990DAA" w:rsidRPr="00990DAA" w:rsidRDefault="00990DAA" w:rsidP="00990DAA">
      <w:pPr>
        <w:pStyle w:val="Legal3"/>
        <w:numPr>
          <w:ilvl w:val="0"/>
          <w:numId w:val="0"/>
        </w:numPr>
        <w:spacing w:before="120" w:after="120"/>
        <w:ind w:left="709"/>
        <w:rPr>
          <w:color w:val="FF0000"/>
        </w:rPr>
      </w:pPr>
      <w:r>
        <w:rPr>
          <w:noProof/>
          <w:lang w:eastAsia="en-GB"/>
        </w:rPr>
        <w:drawing>
          <wp:inline distT="0" distB="0" distL="0" distR="0">
            <wp:extent cx="4572000" cy="27432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5055D" w:rsidRDefault="00990DAA" w:rsidP="00990DAA">
      <w:pPr>
        <w:pStyle w:val="Legal3"/>
        <w:spacing w:before="120" w:after="120"/>
        <w:ind w:left="709" w:hanging="709"/>
        <w:rPr>
          <w:color w:val="000000"/>
        </w:rPr>
      </w:pPr>
      <w:r w:rsidRPr="00990DAA">
        <w:rPr>
          <w:color w:val="000000"/>
        </w:rPr>
        <w:t>A majority o</w:t>
      </w:r>
      <w:r w:rsidR="00976024">
        <w:rPr>
          <w:color w:val="000000"/>
        </w:rPr>
        <w:t>f</w:t>
      </w:r>
      <w:r w:rsidRPr="00990DAA">
        <w:rPr>
          <w:color w:val="000000"/>
        </w:rPr>
        <w:t xml:space="preserve"> </w:t>
      </w:r>
      <w:r w:rsidR="00723FD1">
        <w:rPr>
          <w:color w:val="000000"/>
        </w:rPr>
        <w:t xml:space="preserve">respondents to the survey </w:t>
      </w:r>
      <w:r w:rsidRPr="00990DAA">
        <w:rPr>
          <w:color w:val="000000"/>
        </w:rPr>
        <w:t xml:space="preserve">have a weekly net income of less than £300. This </w:t>
      </w:r>
      <w:r>
        <w:rPr>
          <w:color w:val="000000"/>
        </w:rPr>
        <w:t>income will be needed to cover all costs such as; housing, fuel, food, clothing, children, healthcare etc.</w:t>
      </w:r>
    </w:p>
    <w:p w:rsidR="00990DAA" w:rsidRDefault="00990DAA" w:rsidP="00990DAA">
      <w:pPr>
        <w:pStyle w:val="Legal3"/>
        <w:spacing w:before="120" w:after="120"/>
        <w:ind w:left="709" w:hanging="709"/>
        <w:rPr>
          <w:color w:val="000000"/>
        </w:rPr>
      </w:pPr>
      <w:r w:rsidRPr="00990DAA">
        <w:rPr>
          <w:color w:val="000000"/>
        </w:rPr>
        <w:t>A large number of respondents stated that they worked for the public sector (e.g. in</w:t>
      </w:r>
      <w:r>
        <w:rPr>
          <w:color w:val="000000"/>
        </w:rPr>
        <w:t xml:space="preserve"> education or local government</w:t>
      </w:r>
      <w:r w:rsidR="00976024">
        <w:rPr>
          <w:color w:val="000000"/>
        </w:rPr>
        <w:t>)</w:t>
      </w:r>
      <w:r>
        <w:rPr>
          <w:color w:val="000000"/>
        </w:rPr>
        <w:t xml:space="preserve"> A number also stated that they worked in the tourism industry.</w:t>
      </w:r>
    </w:p>
    <w:p w:rsidR="00990DAA" w:rsidRDefault="00990DAA" w:rsidP="00990DAA">
      <w:pPr>
        <w:pStyle w:val="Legal3"/>
        <w:spacing w:before="120" w:after="120"/>
        <w:ind w:left="709" w:hanging="709"/>
        <w:rPr>
          <w:color w:val="000000"/>
        </w:rPr>
      </w:pPr>
      <w:r>
        <w:rPr>
          <w:color w:val="000000"/>
        </w:rPr>
        <w:t>95.6% of respondents stated that they were able to find employment on IOS. 74.1% stated that they would remain on the IOS if they were unable to find any employment on the islands</w:t>
      </w:r>
      <w:r w:rsidR="00723FD1">
        <w:rPr>
          <w:color w:val="000000"/>
        </w:rPr>
        <w:t>.</w:t>
      </w:r>
    </w:p>
    <w:p w:rsidR="0087683A" w:rsidRPr="00DF4D66" w:rsidRDefault="0087683A"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Housing costs</w:t>
      </w:r>
    </w:p>
    <w:p w:rsidR="0087683A" w:rsidRDefault="00C77D77" w:rsidP="0087683A">
      <w:pPr>
        <w:pStyle w:val="Legal3"/>
        <w:spacing w:before="120" w:after="120"/>
        <w:ind w:left="709" w:hanging="709"/>
      </w:pPr>
      <w:r>
        <w:rPr>
          <w:color w:val="000000"/>
        </w:rPr>
        <w:t xml:space="preserve">As can be </w:t>
      </w:r>
      <w:r w:rsidRPr="00D82E3F">
        <w:t xml:space="preserve">seen in Figure </w:t>
      </w:r>
      <w:r w:rsidR="00D82E3F" w:rsidRPr="00D82E3F">
        <w:t>21</w:t>
      </w:r>
      <w:r w:rsidRPr="00D82E3F">
        <w:t xml:space="preserve"> below, 46.4% of respondents </w:t>
      </w:r>
      <w:r>
        <w:t>could afford rents of up to £100 per week (9.8% could afford up to £75 per week and 36.6% could afford £75 - £100).</w:t>
      </w: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C77D77" w:rsidRPr="00C77D77" w:rsidRDefault="00C77D77" w:rsidP="00C77D77">
      <w:pPr>
        <w:pStyle w:val="Legal3"/>
        <w:numPr>
          <w:ilvl w:val="0"/>
          <w:numId w:val="0"/>
        </w:numPr>
        <w:tabs>
          <w:tab w:val="left" w:pos="851"/>
        </w:tabs>
        <w:spacing w:before="120" w:after="120"/>
        <w:ind w:left="851" w:hanging="851"/>
        <w:rPr>
          <w:b/>
          <w:sz w:val="18"/>
          <w:szCs w:val="18"/>
        </w:rPr>
      </w:pPr>
      <w:r w:rsidRPr="00C77D77">
        <w:rPr>
          <w:b/>
          <w:sz w:val="18"/>
          <w:szCs w:val="18"/>
        </w:rPr>
        <w:lastRenderedPageBreak/>
        <w:t xml:space="preserve">Figure </w:t>
      </w:r>
      <w:r w:rsidR="00D82E3F">
        <w:rPr>
          <w:b/>
          <w:sz w:val="18"/>
          <w:szCs w:val="18"/>
        </w:rPr>
        <w:t>21</w:t>
      </w:r>
      <w:r w:rsidRPr="00C77D77">
        <w:rPr>
          <w:b/>
          <w:sz w:val="18"/>
          <w:szCs w:val="18"/>
        </w:rPr>
        <w:t xml:space="preserve">: </w:t>
      </w:r>
      <w:r>
        <w:rPr>
          <w:b/>
          <w:sz w:val="18"/>
          <w:szCs w:val="18"/>
        </w:rPr>
        <w:t>What level of rent can you afford?</w:t>
      </w:r>
    </w:p>
    <w:p w:rsidR="00C77D77" w:rsidRDefault="00C77D77" w:rsidP="00C77D77">
      <w:pPr>
        <w:pStyle w:val="Legal3"/>
        <w:numPr>
          <w:ilvl w:val="0"/>
          <w:numId w:val="0"/>
        </w:numPr>
        <w:spacing w:before="120" w:after="120"/>
        <w:ind w:left="709"/>
      </w:pPr>
      <w:r>
        <w:rPr>
          <w:noProof/>
          <w:lang w:eastAsia="en-GB"/>
        </w:rPr>
        <w:drawing>
          <wp:inline distT="0" distB="0" distL="0" distR="0">
            <wp:extent cx="4572000" cy="2501900"/>
            <wp:effectExtent l="0" t="0" r="19050" b="127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77D77" w:rsidRDefault="00C77D77" w:rsidP="00C77D77">
      <w:pPr>
        <w:pStyle w:val="Legal3"/>
        <w:spacing w:before="120" w:after="120"/>
        <w:ind w:left="709" w:hanging="709"/>
        <w:rPr>
          <w:color w:val="000000"/>
        </w:rPr>
      </w:pPr>
      <w:r>
        <w:rPr>
          <w:color w:val="000000"/>
        </w:rPr>
        <w:t>Over 90% of the respondents could afford rents of up to £175 per week, with only 7.3% able to fund rents over £175 per week.</w:t>
      </w:r>
    </w:p>
    <w:p w:rsidR="008D5BA5" w:rsidRPr="008D5BA5" w:rsidRDefault="008D5BA5" w:rsidP="00C77D77">
      <w:pPr>
        <w:pStyle w:val="Legal3"/>
        <w:spacing w:before="120" w:after="120"/>
        <w:ind w:left="709" w:hanging="709"/>
        <w:rPr>
          <w:color w:val="000000"/>
        </w:rPr>
      </w:pPr>
      <w:r w:rsidRPr="008D5BA5">
        <w:rPr>
          <w:color w:val="000000"/>
        </w:rPr>
        <w:t>Data from the DCLG suggests that average weekly rental value for a council house on the IOS is £</w:t>
      </w:r>
      <w:r w:rsidRPr="00D82E3F">
        <w:rPr>
          <w:color w:val="000000"/>
        </w:rPr>
        <w:t>65</w:t>
      </w:r>
      <w:r w:rsidRPr="008D5BA5">
        <w:rPr>
          <w:color w:val="000000"/>
        </w:rPr>
        <w:t xml:space="preserve"> and a housing association property is £79. These appear to be within the budgets available to most respondents of the survey. This information does not however enable further analysis around the rental values for different sized properties and comparison with what is needed by the respondents to this survey.</w:t>
      </w:r>
    </w:p>
    <w:p w:rsidR="00C77D77" w:rsidRPr="008D5BA5" w:rsidRDefault="008D5BA5" w:rsidP="00C77D77">
      <w:pPr>
        <w:pStyle w:val="Legal3"/>
        <w:spacing w:before="120" w:after="120"/>
        <w:ind w:left="709" w:hanging="709"/>
      </w:pPr>
      <w:r w:rsidRPr="008D5BA5">
        <w:t>Average weekly rents for private rented properties on the IOS are around £150</w:t>
      </w:r>
      <w:r w:rsidRPr="008D5BA5">
        <w:rPr>
          <w:rStyle w:val="FootnoteReference"/>
        </w:rPr>
        <w:footnoteReference w:id="10"/>
      </w:r>
      <w:r>
        <w:t>. It should be noted that this figure is based on analysis completed of advertised properties on IOS in November 2012, where the sample was significantly impacted by most advertised properties having 3 bed</w:t>
      </w:r>
      <w:r w:rsidR="00D77A7F">
        <w:t>rooms</w:t>
      </w:r>
      <w:r>
        <w:t xml:space="preserve">. </w:t>
      </w:r>
      <w:r w:rsidR="00816A63">
        <w:t xml:space="preserve">This does however suggest that family sized properties in the private rented sector on the IOS will be out of the reach 80.4% of the respondents of this survey, meaning that many are likely to need to access accommodation from the social housing sector. </w:t>
      </w:r>
    </w:p>
    <w:p w:rsidR="00816A63" w:rsidRDefault="00C77D77" w:rsidP="00C77D77">
      <w:pPr>
        <w:pStyle w:val="Legal3"/>
        <w:spacing w:before="120" w:after="120"/>
        <w:ind w:left="709" w:hanging="709"/>
        <w:rPr>
          <w:color w:val="000000"/>
        </w:rPr>
      </w:pPr>
      <w:r w:rsidRPr="00816A63">
        <w:rPr>
          <w:color w:val="000000"/>
        </w:rPr>
        <w:t>The HNS2012 also asked respondents what level of deposit they could afford to put down if they were buying a property</w:t>
      </w:r>
      <w:r w:rsidR="00816A63">
        <w:rPr>
          <w:color w:val="000000"/>
        </w:rPr>
        <w:t>:</w:t>
      </w:r>
      <w:r w:rsidRPr="00816A63">
        <w:rPr>
          <w:color w:val="000000"/>
        </w:rPr>
        <w:t xml:space="preserve"> </w:t>
      </w:r>
    </w:p>
    <w:p w:rsidR="00816A63" w:rsidRDefault="00C77D77" w:rsidP="00816A63">
      <w:pPr>
        <w:pStyle w:val="Legal3"/>
        <w:numPr>
          <w:ilvl w:val="0"/>
          <w:numId w:val="5"/>
        </w:numPr>
        <w:spacing w:before="120" w:after="120"/>
        <w:ind w:left="1134" w:hanging="425"/>
        <w:rPr>
          <w:color w:val="000000"/>
        </w:rPr>
      </w:pPr>
      <w:r w:rsidRPr="00816A63">
        <w:rPr>
          <w:color w:val="000000"/>
        </w:rPr>
        <w:t>44.7% stated that they could afford a deposit of up to £2.5k</w:t>
      </w:r>
    </w:p>
    <w:p w:rsidR="00816A63" w:rsidRDefault="00C77D77" w:rsidP="00816A63">
      <w:pPr>
        <w:pStyle w:val="Legal3"/>
        <w:numPr>
          <w:ilvl w:val="0"/>
          <w:numId w:val="5"/>
        </w:numPr>
        <w:spacing w:before="120" w:after="120"/>
        <w:ind w:left="1134" w:hanging="425"/>
        <w:rPr>
          <w:color w:val="000000"/>
        </w:rPr>
      </w:pPr>
      <w:r w:rsidRPr="00816A63">
        <w:rPr>
          <w:color w:val="000000"/>
        </w:rPr>
        <w:t>18.4% could afford between £2.5k and £5.0k</w:t>
      </w:r>
    </w:p>
    <w:p w:rsidR="00816A63" w:rsidRDefault="00C77D77" w:rsidP="00816A63">
      <w:pPr>
        <w:pStyle w:val="Legal3"/>
        <w:numPr>
          <w:ilvl w:val="0"/>
          <w:numId w:val="5"/>
        </w:numPr>
        <w:spacing w:before="120" w:after="120"/>
        <w:ind w:left="1134" w:hanging="425"/>
        <w:rPr>
          <w:color w:val="000000"/>
        </w:rPr>
      </w:pPr>
      <w:r w:rsidRPr="00816A63">
        <w:rPr>
          <w:color w:val="000000"/>
        </w:rPr>
        <w:t xml:space="preserve">10.5% up to £10.0k </w:t>
      </w:r>
    </w:p>
    <w:p w:rsidR="00816A63" w:rsidRDefault="00C77D77" w:rsidP="00816A63">
      <w:pPr>
        <w:pStyle w:val="Legal3"/>
        <w:numPr>
          <w:ilvl w:val="0"/>
          <w:numId w:val="5"/>
        </w:numPr>
        <w:spacing w:before="120" w:after="120"/>
        <w:ind w:left="1134" w:hanging="425"/>
        <w:rPr>
          <w:color w:val="000000"/>
        </w:rPr>
      </w:pPr>
      <w:r w:rsidRPr="00816A63">
        <w:rPr>
          <w:color w:val="000000"/>
        </w:rPr>
        <w:t>13.2% up to £15.0k</w:t>
      </w:r>
    </w:p>
    <w:p w:rsidR="00C77D77" w:rsidRPr="00816A63" w:rsidRDefault="00C77D77" w:rsidP="00816A63">
      <w:pPr>
        <w:pStyle w:val="Legal3"/>
        <w:numPr>
          <w:ilvl w:val="0"/>
          <w:numId w:val="5"/>
        </w:numPr>
        <w:spacing w:before="120" w:after="120"/>
        <w:ind w:left="1134" w:hanging="425"/>
        <w:rPr>
          <w:color w:val="000000"/>
        </w:rPr>
      </w:pPr>
      <w:r w:rsidRPr="00816A63">
        <w:rPr>
          <w:color w:val="000000"/>
        </w:rPr>
        <w:t xml:space="preserve">Only 13.2% of respondents stated that they could afford to put a deposit of more than £15k on a property.  </w:t>
      </w:r>
    </w:p>
    <w:p w:rsidR="00C77D77" w:rsidRDefault="00C77D77" w:rsidP="00C77D77">
      <w:pPr>
        <w:pStyle w:val="Legal3"/>
        <w:spacing w:before="120" w:after="120"/>
        <w:ind w:left="709" w:hanging="709"/>
        <w:rPr>
          <w:color w:val="000000"/>
        </w:rPr>
      </w:pPr>
      <w:r>
        <w:rPr>
          <w:color w:val="000000"/>
        </w:rPr>
        <w:t>Building on this information on deposit</w:t>
      </w:r>
      <w:r w:rsidR="00976024">
        <w:rPr>
          <w:color w:val="000000"/>
        </w:rPr>
        <w:t>s</w:t>
      </w:r>
      <w:r>
        <w:rPr>
          <w:color w:val="000000"/>
        </w:rPr>
        <w:t>, we asked respondents what property value they believed they could afford to buy.</w:t>
      </w: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BA1423" w:rsidRDefault="00BA1423" w:rsidP="00C77D77">
      <w:pPr>
        <w:pStyle w:val="Legal3"/>
        <w:numPr>
          <w:ilvl w:val="0"/>
          <w:numId w:val="0"/>
        </w:numPr>
        <w:tabs>
          <w:tab w:val="left" w:pos="851"/>
        </w:tabs>
        <w:spacing w:before="120" w:after="120"/>
        <w:ind w:left="851" w:hanging="851"/>
        <w:rPr>
          <w:b/>
          <w:sz w:val="18"/>
          <w:szCs w:val="18"/>
        </w:rPr>
      </w:pPr>
    </w:p>
    <w:p w:rsidR="00C77D77" w:rsidRPr="00C77D77" w:rsidRDefault="00C77D77" w:rsidP="00C77D77">
      <w:pPr>
        <w:pStyle w:val="Legal3"/>
        <w:numPr>
          <w:ilvl w:val="0"/>
          <w:numId w:val="0"/>
        </w:numPr>
        <w:tabs>
          <w:tab w:val="left" w:pos="851"/>
        </w:tabs>
        <w:spacing w:before="120" w:after="120"/>
        <w:ind w:left="851" w:hanging="851"/>
        <w:rPr>
          <w:b/>
          <w:sz w:val="18"/>
          <w:szCs w:val="18"/>
        </w:rPr>
      </w:pPr>
      <w:r w:rsidRPr="00C77D77">
        <w:rPr>
          <w:b/>
          <w:sz w:val="18"/>
          <w:szCs w:val="18"/>
        </w:rPr>
        <w:lastRenderedPageBreak/>
        <w:t xml:space="preserve">Figure </w:t>
      </w:r>
      <w:r w:rsidR="00D82E3F">
        <w:rPr>
          <w:b/>
          <w:sz w:val="18"/>
          <w:szCs w:val="18"/>
        </w:rPr>
        <w:t>22</w:t>
      </w:r>
      <w:r w:rsidRPr="00C77D77">
        <w:rPr>
          <w:b/>
          <w:sz w:val="18"/>
          <w:szCs w:val="18"/>
        </w:rPr>
        <w:t xml:space="preserve">: What </w:t>
      </w:r>
      <w:r w:rsidR="00816A63">
        <w:rPr>
          <w:b/>
          <w:sz w:val="18"/>
          <w:szCs w:val="18"/>
        </w:rPr>
        <w:t>value property could you afford to buy</w:t>
      </w:r>
      <w:r w:rsidRPr="00C77D77">
        <w:rPr>
          <w:b/>
          <w:sz w:val="18"/>
          <w:szCs w:val="18"/>
        </w:rPr>
        <w:t>?</w:t>
      </w:r>
    </w:p>
    <w:p w:rsidR="00C77D77" w:rsidRDefault="00D5055D" w:rsidP="00C77D77">
      <w:pPr>
        <w:pStyle w:val="Legal3"/>
        <w:numPr>
          <w:ilvl w:val="0"/>
          <w:numId w:val="0"/>
        </w:numPr>
        <w:spacing w:before="120" w:after="120"/>
        <w:rPr>
          <w:color w:val="000000"/>
        </w:rPr>
      </w:pPr>
      <w:r>
        <w:rPr>
          <w:color w:val="000000"/>
        </w:rPr>
        <w:tab/>
      </w:r>
      <w:r>
        <w:rPr>
          <w:noProof/>
          <w:lang w:eastAsia="en-GB"/>
        </w:rPr>
        <w:drawing>
          <wp:inline distT="0" distB="0" distL="0" distR="0">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77D77" w:rsidRPr="00D82E3F" w:rsidRDefault="00D5055D" w:rsidP="00C77D77">
      <w:pPr>
        <w:pStyle w:val="Legal3"/>
        <w:spacing w:before="120" w:after="120"/>
        <w:ind w:left="709" w:hanging="709"/>
      </w:pPr>
      <w:r>
        <w:rPr>
          <w:color w:val="000000"/>
        </w:rPr>
        <w:t xml:space="preserve">Clearly the majority of respondents stated that they </w:t>
      </w:r>
      <w:r w:rsidR="00723FD1">
        <w:rPr>
          <w:color w:val="000000"/>
        </w:rPr>
        <w:t xml:space="preserve">would </w:t>
      </w:r>
      <w:r>
        <w:rPr>
          <w:color w:val="000000"/>
        </w:rPr>
        <w:t xml:space="preserve">be looking to buy properties of lower value. 45.9% stated that they could afford a property of up to £100k and a further </w:t>
      </w:r>
      <w:r w:rsidRPr="00D82E3F">
        <w:t>24.3% stated they could afford a property of up to £150k. Only 13.5% of respondents believe they could afford a property worth over £200k.</w:t>
      </w:r>
    </w:p>
    <w:p w:rsidR="00D5055D" w:rsidRPr="00D82E3F" w:rsidRDefault="00D5055D" w:rsidP="00C77D77">
      <w:pPr>
        <w:pStyle w:val="Legal3"/>
        <w:spacing w:before="120" w:after="120"/>
        <w:ind w:left="709" w:hanging="709"/>
      </w:pPr>
      <w:r w:rsidRPr="00D82E3F">
        <w:t>We also asked respondents what the maximum monthly mortgage repayments they could afford would be. 25 people responded to the question and we found an average maximum monthly mortgage repayment to be £568. This was against a range of £400 to £1,000.</w:t>
      </w:r>
    </w:p>
    <w:p w:rsidR="00816A63" w:rsidRPr="00816A63" w:rsidRDefault="00816A63" w:rsidP="00816A63">
      <w:pPr>
        <w:pStyle w:val="Legal3"/>
        <w:spacing w:before="120" w:after="120"/>
        <w:ind w:left="709" w:hanging="709"/>
      </w:pPr>
      <w:r w:rsidRPr="00D82E3F">
        <w:t xml:space="preserve">As stated in Section 3 the average value of a property on IOS is now £305k. Based on the data presented in Figure </w:t>
      </w:r>
      <w:r w:rsidR="00D82E3F" w:rsidRPr="00D82E3F">
        <w:t>23</w:t>
      </w:r>
      <w:r w:rsidRPr="00D82E3F">
        <w:t xml:space="preserve"> above only 5.4% of the respondents could afford to buy an average valued property. This is further compounded by the low deposit values that could be raised by respondents to the survey, meaning that a large majority would find it difficult to access any mortgage </w:t>
      </w:r>
      <w:r>
        <w:t>funding from banks at this time.</w:t>
      </w:r>
    </w:p>
    <w:p w:rsidR="0087683A" w:rsidRPr="00DF4D66" w:rsidRDefault="0087683A" w:rsidP="000073B1">
      <w:pPr>
        <w:pStyle w:val="Legal2"/>
        <w:numPr>
          <w:ilvl w:val="1"/>
          <w:numId w:val="3"/>
        </w:numPr>
        <w:tabs>
          <w:tab w:val="clear" w:pos="2340"/>
          <w:tab w:val="num" w:pos="709"/>
        </w:tabs>
        <w:spacing w:before="120" w:after="120"/>
        <w:ind w:left="709" w:hanging="709"/>
        <w:rPr>
          <w:b/>
          <w:color w:val="403152" w:themeColor="accent4" w:themeShade="80"/>
        </w:rPr>
      </w:pPr>
      <w:r>
        <w:rPr>
          <w:b/>
          <w:color w:val="403152" w:themeColor="accent4" w:themeShade="80"/>
        </w:rPr>
        <w:t>Council housing register</w:t>
      </w:r>
    </w:p>
    <w:p w:rsidR="0087683A" w:rsidRPr="004D189A" w:rsidRDefault="004D189A" w:rsidP="0087683A">
      <w:pPr>
        <w:pStyle w:val="Legal3"/>
        <w:spacing w:before="120" w:after="120"/>
        <w:ind w:left="709" w:hanging="709"/>
      </w:pPr>
      <w:r>
        <w:rPr>
          <w:color w:val="000000"/>
        </w:rPr>
        <w:t xml:space="preserve">Of the total responses to the HNS2012, 59.1% stated that they had applied to be on the council housing register. </w:t>
      </w:r>
    </w:p>
    <w:p w:rsidR="004D189A" w:rsidRPr="004D189A" w:rsidRDefault="004D189A" w:rsidP="0087683A">
      <w:pPr>
        <w:pStyle w:val="Legal3"/>
        <w:spacing w:before="120" w:after="120"/>
        <w:ind w:left="709" w:hanging="709"/>
      </w:pPr>
      <w:r>
        <w:rPr>
          <w:color w:val="000000"/>
        </w:rPr>
        <w:t xml:space="preserve">Figure </w:t>
      </w:r>
      <w:r w:rsidR="00D82E3F">
        <w:rPr>
          <w:color w:val="000000"/>
        </w:rPr>
        <w:t>24</w:t>
      </w:r>
      <w:r>
        <w:rPr>
          <w:color w:val="000000"/>
        </w:rPr>
        <w:t xml:space="preserve"> below summarise the reasons stated by those who have not applied to be on the council housing register.</w:t>
      </w: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6610EE" w:rsidRDefault="006610EE" w:rsidP="004D189A">
      <w:pPr>
        <w:pStyle w:val="Legal3"/>
        <w:numPr>
          <w:ilvl w:val="0"/>
          <w:numId w:val="0"/>
        </w:numPr>
        <w:tabs>
          <w:tab w:val="left" w:pos="851"/>
        </w:tabs>
        <w:spacing w:before="120" w:after="120"/>
        <w:ind w:left="851" w:hanging="851"/>
        <w:rPr>
          <w:b/>
          <w:sz w:val="18"/>
          <w:szCs w:val="18"/>
        </w:rPr>
      </w:pPr>
    </w:p>
    <w:p w:rsidR="00214469" w:rsidRDefault="00214469" w:rsidP="004D189A">
      <w:pPr>
        <w:pStyle w:val="Legal3"/>
        <w:numPr>
          <w:ilvl w:val="0"/>
          <w:numId w:val="0"/>
        </w:numPr>
        <w:tabs>
          <w:tab w:val="left" w:pos="851"/>
        </w:tabs>
        <w:spacing w:before="120" w:after="120"/>
        <w:ind w:left="851" w:hanging="851"/>
        <w:rPr>
          <w:b/>
          <w:sz w:val="18"/>
          <w:szCs w:val="18"/>
        </w:rPr>
      </w:pPr>
    </w:p>
    <w:p w:rsidR="004D189A" w:rsidRPr="004D189A" w:rsidRDefault="004D189A" w:rsidP="004D189A">
      <w:pPr>
        <w:pStyle w:val="Legal3"/>
        <w:numPr>
          <w:ilvl w:val="0"/>
          <w:numId w:val="0"/>
        </w:numPr>
        <w:tabs>
          <w:tab w:val="left" w:pos="851"/>
        </w:tabs>
        <w:spacing w:before="120" w:after="120"/>
        <w:ind w:left="851" w:hanging="851"/>
        <w:rPr>
          <w:b/>
          <w:sz w:val="18"/>
          <w:szCs w:val="18"/>
        </w:rPr>
      </w:pPr>
      <w:r w:rsidRPr="004D189A">
        <w:rPr>
          <w:b/>
          <w:sz w:val="18"/>
          <w:szCs w:val="18"/>
        </w:rPr>
        <w:lastRenderedPageBreak/>
        <w:t xml:space="preserve">Figure </w:t>
      </w:r>
      <w:r w:rsidR="00D82E3F">
        <w:rPr>
          <w:b/>
          <w:sz w:val="18"/>
          <w:szCs w:val="18"/>
        </w:rPr>
        <w:t>24</w:t>
      </w:r>
      <w:r w:rsidRPr="004D189A">
        <w:rPr>
          <w:b/>
          <w:sz w:val="18"/>
          <w:szCs w:val="18"/>
        </w:rPr>
        <w:t xml:space="preserve">: </w:t>
      </w:r>
      <w:r>
        <w:rPr>
          <w:b/>
          <w:sz w:val="18"/>
          <w:szCs w:val="18"/>
        </w:rPr>
        <w:t>Why are you not on the council housing register?</w:t>
      </w:r>
    </w:p>
    <w:p w:rsidR="004D189A" w:rsidRPr="004D189A" w:rsidRDefault="00214469" w:rsidP="004D189A">
      <w:pPr>
        <w:pStyle w:val="Legal3"/>
        <w:numPr>
          <w:ilvl w:val="0"/>
          <w:numId w:val="0"/>
        </w:numPr>
        <w:spacing w:before="120" w:after="120"/>
        <w:ind w:left="709"/>
      </w:pPr>
      <w:r w:rsidRPr="00214469">
        <w:rPr>
          <w:noProof/>
          <w:lang w:eastAsia="en-GB"/>
        </w:rPr>
        <w:drawing>
          <wp:inline distT="0" distB="0" distL="0" distR="0">
            <wp:extent cx="4584700" cy="275590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rsidR="004D189A" w:rsidRDefault="004D189A" w:rsidP="0087683A">
      <w:pPr>
        <w:pStyle w:val="Legal3"/>
        <w:spacing w:before="120" w:after="120"/>
        <w:ind w:left="709" w:hanging="709"/>
      </w:pPr>
      <w:r>
        <w:rPr>
          <w:color w:val="000000"/>
        </w:rPr>
        <w:t>There were a number of additional responses (e.g. free hand text responses written directly onto the survey form) from individual who also stated that they hadn’t joined the housing register because they already had a property (this wasn’t an option in the survey).</w:t>
      </w:r>
    </w:p>
    <w:p w:rsidR="00C77D77" w:rsidRDefault="00C77D77" w:rsidP="000073B1">
      <w:pPr>
        <w:pStyle w:val="Legal2"/>
        <w:numPr>
          <w:ilvl w:val="1"/>
          <w:numId w:val="3"/>
        </w:numPr>
        <w:tabs>
          <w:tab w:val="clear" w:pos="2340"/>
          <w:tab w:val="num" w:pos="709"/>
        </w:tabs>
        <w:spacing w:before="120" w:after="120"/>
        <w:ind w:left="709" w:hanging="709"/>
        <w:rPr>
          <w:b/>
          <w:color w:val="403152" w:themeColor="accent4" w:themeShade="80"/>
        </w:rPr>
        <w:sectPr w:rsidR="00C77D77" w:rsidSect="00D775D4">
          <w:pgSz w:w="11906" w:h="16838"/>
          <w:pgMar w:top="2268" w:right="1440" w:bottom="1418" w:left="1418" w:header="709" w:footer="709" w:gutter="0"/>
          <w:cols w:space="708"/>
          <w:docGrid w:linePitch="360"/>
        </w:sectPr>
      </w:pPr>
    </w:p>
    <w:p w:rsidR="0087683A" w:rsidRPr="00C77D77" w:rsidRDefault="0087683A" w:rsidP="00C77D77">
      <w:pPr>
        <w:pStyle w:val="Legal1"/>
        <w:numPr>
          <w:ilvl w:val="0"/>
          <w:numId w:val="3"/>
        </w:numPr>
        <w:spacing w:before="120" w:after="120"/>
        <w:rPr>
          <w:color w:val="403152"/>
          <w:sz w:val="24"/>
          <w:szCs w:val="24"/>
        </w:rPr>
      </w:pPr>
      <w:bookmarkStart w:id="8" w:name="_Toc343686380"/>
      <w:r w:rsidRPr="00C77D77">
        <w:rPr>
          <w:color w:val="403152"/>
          <w:sz w:val="24"/>
          <w:szCs w:val="24"/>
        </w:rPr>
        <w:lastRenderedPageBreak/>
        <w:t xml:space="preserve">Future </w:t>
      </w:r>
      <w:r w:rsidR="00C77D77">
        <w:rPr>
          <w:color w:val="403152"/>
          <w:sz w:val="24"/>
          <w:szCs w:val="24"/>
        </w:rPr>
        <w:t>housing on Isles of Scilly</w:t>
      </w:r>
      <w:bookmarkEnd w:id="8"/>
    </w:p>
    <w:p w:rsidR="0087683A" w:rsidRPr="004D189A" w:rsidRDefault="004D189A" w:rsidP="0087683A">
      <w:pPr>
        <w:pStyle w:val="Legal3"/>
        <w:spacing w:before="120" w:after="120"/>
        <w:ind w:left="709" w:hanging="709"/>
      </w:pPr>
      <w:r>
        <w:rPr>
          <w:color w:val="000000"/>
        </w:rPr>
        <w:t xml:space="preserve">As can be </w:t>
      </w:r>
      <w:r w:rsidRPr="00D82E3F">
        <w:t xml:space="preserve">seen in Figure </w:t>
      </w:r>
      <w:r w:rsidR="00D82E3F" w:rsidRPr="00D82E3F">
        <w:t>25</w:t>
      </w:r>
      <w:r w:rsidRPr="00D82E3F">
        <w:t xml:space="preserve"> below, there appears to be strong support from current residents for more housing on IOS.</w:t>
      </w:r>
    </w:p>
    <w:p w:rsidR="004D189A" w:rsidRPr="00107011" w:rsidRDefault="004D189A" w:rsidP="004D189A">
      <w:pPr>
        <w:pStyle w:val="Legal3"/>
        <w:numPr>
          <w:ilvl w:val="0"/>
          <w:numId w:val="0"/>
        </w:numPr>
        <w:tabs>
          <w:tab w:val="left" w:pos="851"/>
        </w:tabs>
        <w:spacing w:before="120" w:after="120"/>
        <w:ind w:left="851" w:hanging="851"/>
        <w:rPr>
          <w:b/>
          <w:i/>
          <w:sz w:val="18"/>
          <w:szCs w:val="18"/>
        </w:rPr>
      </w:pPr>
      <w:r w:rsidRPr="004D189A">
        <w:rPr>
          <w:b/>
          <w:sz w:val="18"/>
          <w:szCs w:val="18"/>
        </w:rPr>
        <w:t xml:space="preserve">Figure </w:t>
      </w:r>
      <w:r w:rsidR="00D82E3F">
        <w:rPr>
          <w:b/>
          <w:sz w:val="18"/>
          <w:szCs w:val="18"/>
        </w:rPr>
        <w:t>25</w:t>
      </w:r>
      <w:r w:rsidRPr="004D189A">
        <w:rPr>
          <w:b/>
          <w:sz w:val="18"/>
          <w:szCs w:val="18"/>
        </w:rPr>
        <w:t xml:space="preserve">: </w:t>
      </w:r>
      <w:r w:rsidR="00D82E3F">
        <w:rPr>
          <w:b/>
          <w:sz w:val="18"/>
          <w:szCs w:val="18"/>
        </w:rPr>
        <w:t>What is the support for more housing on IOS?</w:t>
      </w:r>
    </w:p>
    <w:p w:rsidR="004D189A" w:rsidRPr="004D189A" w:rsidRDefault="004D189A" w:rsidP="004D189A">
      <w:pPr>
        <w:pStyle w:val="Legal3"/>
        <w:numPr>
          <w:ilvl w:val="0"/>
          <w:numId w:val="0"/>
        </w:numPr>
        <w:spacing w:before="120" w:after="120"/>
        <w:ind w:left="709"/>
      </w:pPr>
      <w:r>
        <w:rPr>
          <w:noProof/>
          <w:lang w:eastAsia="en-GB"/>
        </w:rPr>
        <w:drawing>
          <wp:inline distT="0" distB="0" distL="0" distR="0">
            <wp:extent cx="4572000" cy="2438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D189A" w:rsidRPr="00D82E3F" w:rsidRDefault="004D189A" w:rsidP="0087683A">
      <w:pPr>
        <w:pStyle w:val="Legal3"/>
        <w:spacing w:before="120" w:after="120"/>
        <w:ind w:left="709" w:hanging="709"/>
      </w:pPr>
      <w:r>
        <w:rPr>
          <w:color w:val="000000"/>
        </w:rPr>
        <w:t xml:space="preserve">Although based on a small sample size, these results appear to indicate a strong level of support for new housing, with over 90% supporting the creation of new </w:t>
      </w:r>
      <w:r w:rsidRPr="00D82E3F">
        <w:t>properties on their own island or overall on the IOS.</w:t>
      </w:r>
    </w:p>
    <w:p w:rsidR="004D189A" w:rsidRPr="004D189A" w:rsidRDefault="004D189A" w:rsidP="0087683A">
      <w:pPr>
        <w:pStyle w:val="Legal3"/>
        <w:spacing w:before="120" w:after="120"/>
        <w:ind w:left="709" w:hanging="709"/>
      </w:pPr>
      <w:r w:rsidRPr="00D82E3F">
        <w:t xml:space="preserve">Figure </w:t>
      </w:r>
      <w:r w:rsidR="00D82E3F" w:rsidRPr="00D82E3F">
        <w:t>26</w:t>
      </w:r>
      <w:r w:rsidRPr="00D82E3F">
        <w:t xml:space="preserve"> provides further details on what types of properties current residents would like to see on IOS</w:t>
      </w:r>
      <w:r>
        <w:rPr>
          <w:color w:val="000000"/>
        </w:rPr>
        <w:t>.</w:t>
      </w:r>
    </w:p>
    <w:p w:rsidR="004D189A" w:rsidRPr="004D189A" w:rsidRDefault="004D189A" w:rsidP="004D189A">
      <w:pPr>
        <w:pStyle w:val="Legal3"/>
        <w:numPr>
          <w:ilvl w:val="0"/>
          <w:numId w:val="0"/>
        </w:numPr>
        <w:tabs>
          <w:tab w:val="left" w:pos="851"/>
        </w:tabs>
        <w:spacing w:before="120" w:after="120"/>
        <w:ind w:left="851" w:hanging="851"/>
        <w:rPr>
          <w:b/>
          <w:sz w:val="18"/>
          <w:szCs w:val="18"/>
        </w:rPr>
      </w:pPr>
      <w:r w:rsidRPr="004D189A">
        <w:rPr>
          <w:b/>
          <w:sz w:val="18"/>
          <w:szCs w:val="18"/>
        </w:rPr>
        <w:t xml:space="preserve">Figure </w:t>
      </w:r>
      <w:r w:rsidR="00D82E3F">
        <w:rPr>
          <w:b/>
          <w:sz w:val="18"/>
          <w:szCs w:val="18"/>
        </w:rPr>
        <w:t>26</w:t>
      </w:r>
      <w:r w:rsidRPr="004D189A">
        <w:rPr>
          <w:b/>
          <w:sz w:val="18"/>
          <w:szCs w:val="18"/>
        </w:rPr>
        <w:t xml:space="preserve">: </w:t>
      </w:r>
      <w:r w:rsidR="005F4469">
        <w:rPr>
          <w:b/>
          <w:sz w:val="18"/>
          <w:szCs w:val="18"/>
        </w:rPr>
        <w:t>What type of new housing would you like to see?</w:t>
      </w:r>
    </w:p>
    <w:p w:rsidR="004D189A" w:rsidRDefault="004D189A" w:rsidP="004D189A">
      <w:pPr>
        <w:pStyle w:val="Legal3"/>
        <w:numPr>
          <w:ilvl w:val="0"/>
          <w:numId w:val="0"/>
        </w:numPr>
        <w:spacing w:before="120" w:after="120"/>
        <w:ind w:left="709"/>
      </w:pPr>
      <w:r>
        <w:rPr>
          <w:noProof/>
          <w:lang w:eastAsia="en-GB"/>
        </w:rPr>
        <w:drawing>
          <wp:inline distT="0" distB="0" distL="0" distR="0">
            <wp:extent cx="4572000" cy="27432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D189A" w:rsidRDefault="005F4469" w:rsidP="0087683A">
      <w:pPr>
        <w:pStyle w:val="Legal3"/>
        <w:spacing w:before="120" w:after="120"/>
        <w:ind w:left="709" w:hanging="709"/>
      </w:pPr>
      <w:r>
        <w:t xml:space="preserve">Based on the findings shown in </w:t>
      </w:r>
      <w:r w:rsidRPr="00D82E3F">
        <w:t xml:space="preserve">Figure </w:t>
      </w:r>
      <w:r w:rsidR="00D82E3F" w:rsidRPr="00D82E3F">
        <w:t>26</w:t>
      </w:r>
      <w:r w:rsidRPr="00D82E3F">
        <w:t xml:space="preserve"> </w:t>
      </w:r>
      <w:r>
        <w:t xml:space="preserve">over 50% of </w:t>
      </w:r>
      <w:r w:rsidR="009A2391">
        <w:t>respondent</w:t>
      </w:r>
      <w:r>
        <w:t>s would be happy to see new build properties, conversion of existing buildings and housing that was restricted to meeting the needs of local people only.</w:t>
      </w:r>
    </w:p>
    <w:p w:rsidR="005F4469" w:rsidRDefault="005F4469" w:rsidP="0087683A">
      <w:pPr>
        <w:pStyle w:val="Legal3"/>
        <w:spacing w:before="120" w:after="120"/>
        <w:ind w:left="709" w:hanging="709"/>
      </w:pPr>
      <w:r>
        <w:t>In terms of the supporting comments made by people who stated ‘Other’ these included:</w:t>
      </w:r>
    </w:p>
    <w:p w:rsidR="0087683A" w:rsidRDefault="005F4469" w:rsidP="000073B1">
      <w:pPr>
        <w:pStyle w:val="Legal3"/>
        <w:numPr>
          <w:ilvl w:val="0"/>
          <w:numId w:val="5"/>
        </w:numPr>
        <w:spacing w:before="120" w:after="120"/>
        <w:ind w:left="1134" w:hanging="425"/>
      </w:pPr>
      <w:r>
        <w:lastRenderedPageBreak/>
        <w:t>Housing for vulnerable adults</w:t>
      </w:r>
    </w:p>
    <w:p w:rsidR="005F4469" w:rsidRDefault="005F4469" w:rsidP="000073B1">
      <w:pPr>
        <w:pStyle w:val="Legal3"/>
        <w:numPr>
          <w:ilvl w:val="0"/>
          <w:numId w:val="5"/>
        </w:numPr>
        <w:spacing w:before="120" w:after="120"/>
        <w:ind w:left="1134" w:hanging="425"/>
      </w:pPr>
      <w:r>
        <w:t>Attractive yet affordable</w:t>
      </w:r>
    </w:p>
    <w:p w:rsidR="005F4469" w:rsidRDefault="005F4469" w:rsidP="000073B1">
      <w:pPr>
        <w:pStyle w:val="Legal3"/>
        <w:numPr>
          <w:ilvl w:val="0"/>
          <w:numId w:val="5"/>
        </w:numPr>
        <w:spacing w:before="120" w:after="120"/>
        <w:ind w:left="1134" w:hanging="425"/>
      </w:pPr>
      <w:r>
        <w:t>Accommodation for young people / young families / recently married</w:t>
      </w:r>
      <w:r w:rsidR="00341F3A">
        <w:t>.</w:t>
      </w:r>
    </w:p>
    <w:p w:rsidR="005F4469" w:rsidRDefault="005F4469" w:rsidP="005F4469">
      <w:pPr>
        <w:pStyle w:val="Legal3"/>
        <w:spacing w:before="120" w:after="120"/>
        <w:ind w:left="709" w:hanging="709"/>
      </w:pPr>
      <w:r>
        <w:t>Finally the HNS2012 included a question on what type of housing in particular respondents thought the IOS needed.</w:t>
      </w:r>
    </w:p>
    <w:p w:rsidR="005F4469" w:rsidRPr="005F4469" w:rsidRDefault="005F4469" w:rsidP="005F4469">
      <w:pPr>
        <w:pStyle w:val="Legal3"/>
        <w:numPr>
          <w:ilvl w:val="0"/>
          <w:numId w:val="0"/>
        </w:numPr>
        <w:tabs>
          <w:tab w:val="left" w:pos="851"/>
        </w:tabs>
        <w:spacing w:before="120" w:after="120"/>
        <w:ind w:left="851" w:hanging="851"/>
        <w:rPr>
          <w:b/>
          <w:sz w:val="18"/>
          <w:szCs w:val="18"/>
        </w:rPr>
      </w:pPr>
      <w:r w:rsidRPr="005F4469">
        <w:rPr>
          <w:b/>
          <w:sz w:val="18"/>
          <w:szCs w:val="18"/>
        </w:rPr>
        <w:t xml:space="preserve">Figure </w:t>
      </w:r>
      <w:r w:rsidR="00D82E3F">
        <w:rPr>
          <w:b/>
          <w:sz w:val="18"/>
          <w:szCs w:val="18"/>
        </w:rPr>
        <w:t>27</w:t>
      </w:r>
      <w:r w:rsidRPr="005F4469">
        <w:rPr>
          <w:b/>
          <w:sz w:val="18"/>
          <w:szCs w:val="18"/>
        </w:rPr>
        <w:t xml:space="preserve">: </w:t>
      </w:r>
      <w:r>
        <w:rPr>
          <w:b/>
          <w:sz w:val="18"/>
          <w:szCs w:val="18"/>
        </w:rPr>
        <w:t>What sort of housing is needed in particular?</w:t>
      </w:r>
    </w:p>
    <w:p w:rsidR="005F4469" w:rsidRDefault="005F4469" w:rsidP="005F4469">
      <w:pPr>
        <w:pStyle w:val="Legal3"/>
        <w:numPr>
          <w:ilvl w:val="0"/>
          <w:numId w:val="0"/>
        </w:numPr>
        <w:spacing w:before="120" w:after="120"/>
        <w:ind w:left="709"/>
      </w:pPr>
      <w:r>
        <w:rPr>
          <w:noProof/>
          <w:lang w:eastAsia="en-GB"/>
        </w:rPr>
        <w:drawing>
          <wp:inline distT="0" distB="0" distL="0" distR="0">
            <wp:extent cx="4572000" cy="2743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F4469" w:rsidRDefault="005F4469" w:rsidP="005F4469">
      <w:pPr>
        <w:pStyle w:val="Legal3"/>
        <w:spacing w:before="120" w:after="120"/>
        <w:ind w:left="709" w:hanging="709"/>
      </w:pPr>
      <w:r>
        <w:t xml:space="preserve">As can be seen in </w:t>
      </w:r>
      <w:r w:rsidRPr="00D82E3F">
        <w:t xml:space="preserve">Figure </w:t>
      </w:r>
      <w:r w:rsidR="00D82E3F" w:rsidRPr="00D82E3F">
        <w:t>27</w:t>
      </w:r>
      <w:r>
        <w:t xml:space="preserve"> above 72.9% of respondents would like to see more housing that was available for rent, 40.0% would like to see more self-build properties and 40.0% would also like to see housing built through community land trusts.</w:t>
      </w:r>
    </w:p>
    <w:p w:rsidR="005F4469" w:rsidRDefault="005F4469" w:rsidP="005F4469">
      <w:pPr>
        <w:pStyle w:val="Legal3"/>
        <w:spacing w:before="120" w:after="120"/>
        <w:ind w:left="709" w:hanging="709"/>
      </w:pPr>
      <w:r>
        <w:t xml:space="preserve">Comments behind those who responded by saying ‘Other’ mirrored the comments made against what type of housing individual would like to see (i.e. housing for young families, affordable properties etc.). </w:t>
      </w:r>
    </w:p>
    <w:p w:rsidR="00DF4D66" w:rsidRDefault="00DF4D66" w:rsidP="00C94F16">
      <w:pPr>
        <w:rPr>
          <w:rFonts w:ascii="Arial" w:eastAsia="Times New Roman" w:hAnsi="Arial" w:cs="Arial"/>
          <w:b/>
          <w:color w:val="403152"/>
          <w:kern w:val="28"/>
        </w:rPr>
      </w:pPr>
    </w:p>
    <w:p w:rsidR="00DF4D66" w:rsidRPr="00192EA1" w:rsidRDefault="0087683A" w:rsidP="000073B1">
      <w:pPr>
        <w:pStyle w:val="Legal1"/>
        <w:numPr>
          <w:ilvl w:val="0"/>
          <w:numId w:val="3"/>
        </w:numPr>
        <w:spacing w:before="120" w:after="120"/>
        <w:rPr>
          <w:color w:val="403152"/>
          <w:sz w:val="24"/>
          <w:szCs w:val="24"/>
        </w:rPr>
      </w:pPr>
      <w:r w:rsidRPr="00192EA1">
        <w:rPr>
          <w:color w:val="403152"/>
          <w:sz w:val="24"/>
          <w:szCs w:val="24"/>
        </w:rPr>
        <w:br w:type="page"/>
      </w:r>
      <w:bookmarkStart w:id="9" w:name="_Toc343686381"/>
      <w:r w:rsidRPr="00192EA1">
        <w:rPr>
          <w:color w:val="403152"/>
          <w:sz w:val="24"/>
          <w:szCs w:val="24"/>
        </w:rPr>
        <w:lastRenderedPageBreak/>
        <w:t>Conclusions</w:t>
      </w:r>
      <w:bookmarkEnd w:id="9"/>
    </w:p>
    <w:p w:rsidR="003E07CF" w:rsidRDefault="009B3E13" w:rsidP="003E07CF">
      <w:pPr>
        <w:pStyle w:val="Legal3"/>
        <w:spacing w:before="120" w:after="120"/>
        <w:ind w:left="709" w:hanging="709"/>
      </w:pPr>
      <w:bookmarkStart w:id="10" w:name="_Toc334608744"/>
      <w:r>
        <w:t xml:space="preserve">As a designate Conservation Area and Area of Outstanding Natural Beauty, </w:t>
      </w:r>
      <w:r w:rsidR="00C52C9A">
        <w:t>and with large parts of land owned by the Duchy of Cornwall, the IOS has a housing situation which is unique to the rest of the UK.</w:t>
      </w:r>
    </w:p>
    <w:p w:rsidR="00C52C9A" w:rsidRDefault="00C52C9A" w:rsidP="003E07CF">
      <w:pPr>
        <w:pStyle w:val="Legal3"/>
        <w:spacing w:before="120" w:after="120"/>
        <w:ind w:left="709" w:hanging="709"/>
      </w:pPr>
      <w:r>
        <w:t xml:space="preserve">Although the response rate was lower than previous surveys that have been completed, the results of the HNS2012 provide a valuable source of data that can be used to help support the </w:t>
      </w:r>
      <w:r w:rsidRPr="00C52C9A">
        <w:t>development of housing strategies to support the needs of residents on the islands.</w:t>
      </w:r>
    </w:p>
    <w:p w:rsidR="00C52C9A" w:rsidRDefault="00C52C9A" w:rsidP="003E07CF">
      <w:pPr>
        <w:pStyle w:val="Legal3"/>
        <w:spacing w:before="120" w:after="120"/>
        <w:ind w:left="709" w:hanging="709"/>
      </w:pPr>
      <w:r>
        <w:t xml:space="preserve">Key findings within the survey show that around 59% of </w:t>
      </w:r>
      <w:r w:rsidR="009A2391">
        <w:t>respondent</w:t>
      </w:r>
      <w:r>
        <w:t xml:space="preserve">s are currently satisfied with their accommodation. This </w:t>
      </w:r>
      <w:proofErr w:type="spellStart"/>
      <w:r>
        <w:t>does</w:t>
      </w:r>
      <w:r w:rsidR="00936BA3">
        <w:t>,however</w:t>
      </w:r>
      <w:proofErr w:type="spellEnd"/>
      <w:r w:rsidR="00936BA3">
        <w:t>,</w:t>
      </w:r>
      <w:r>
        <w:t xml:space="preserve"> mean that 41% have expressed dissatisfaction, with the main drivers appearing to be too few bedrooms, problems with heating or a need for specific improvements to be made (e.g. sound proofing, tackling damp problems etc.)</w:t>
      </w:r>
    </w:p>
    <w:p w:rsidR="00C52C9A" w:rsidRDefault="00C52C9A" w:rsidP="003E07CF">
      <w:pPr>
        <w:pStyle w:val="Legal3"/>
        <w:spacing w:before="120" w:after="120"/>
        <w:ind w:left="709" w:hanging="709"/>
      </w:pPr>
      <w:r>
        <w:t>A high percentage of respondents to the survey also stated that they are currently looking for new accommodation. Of these individuals</w:t>
      </w:r>
      <w:r w:rsidR="00F82AD2">
        <w:t>,</w:t>
      </w:r>
      <w:r>
        <w:t xml:space="preserve"> moving into either accommodation rented from the Council or Duchy were the most popular choices, followed by a home rented from a housing association. Demand appears to be strongest for two bedroom properties.</w:t>
      </w:r>
    </w:p>
    <w:p w:rsidR="00C52C9A" w:rsidRDefault="00C52C9A" w:rsidP="003E07CF">
      <w:pPr>
        <w:pStyle w:val="Legal3"/>
        <w:spacing w:before="120" w:after="120"/>
        <w:ind w:left="709" w:hanging="709"/>
      </w:pPr>
      <w:r>
        <w:t xml:space="preserve">There also appears to be strong support </w:t>
      </w:r>
      <w:r w:rsidR="00936BA3">
        <w:t xml:space="preserve">from respondents </w:t>
      </w:r>
      <w:r>
        <w:t xml:space="preserve">for new homes on IOS. The demand for more rented accommodation appears to be strongest with 72% of respondents starting that they believe there is a need for more rented accommodation. Over 90% of respondents would support new homes being creating on either their own or another island. Over 60% of </w:t>
      </w:r>
      <w:r w:rsidR="009A2391">
        <w:t>respondent</w:t>
      </w:r>
      <w:r>
        <w:t>s would also support either newly built homes or converted accommodation.</w:t>
      </w:r>
    </w:p>
    <w:p w:rsidR="00214469" w:rsidRPr="009B3E13" w:rsidRDefault="00214469" w:rsidP="00214469">
      <w:pPr>
        <w:pStyle w:val="Legal3"/>
        <w:numPr>
          <w:ilvl w:val="0"/>
          <w:numId w:val="0"/>
        </w:numPr>
        <w:spacing w:before="120" w:after="120"/>
      </w:pPr>
    </w:p>
    <w:bookmarkEnd w:id="10"/>
    <w:p w:rsidR="00DF4D66" w:rsidRDefault="00DF4D66" w:rsidP="00C52C9A">
      <w:pPr>
        <w:pStyle w:val="Legal3"/>
        <w:spacing w:before="120" w:after="120"/>
        <w:ind w:left="709" w:hanging="709"/>
        <w:rPr>
          <w:rFonts w:cs="Arial"/>
          <w:b/>
          <w:color w:val="403152"/>
          <w:kern w:val="28"/>
        </w:rPr>
      </w:pPr>
      <w:r>
        <w:rPr>
          <w:rFonts w:cs="Arial"/>
          <w:b/>
          <w:color w:val="403152"/>
          <w:kern w:val="28"/>
        </w:rPr>
        <w:br w:type="page"/>
      </w:r>
    </w:p>
    <w:p w:rsidR="00DF4D66" w:rsidRDefault="00DF4D66" w:rsidP="00DF4D66">
      <w:pPr>
        <w:pStyle w:val="Heading1"/>
        <w:numPr>
          <w:ilvl w:val="0"/>
          <w:numId w:val="0"/>
        </w:numPr>
        <w:spacing w:before="120" w:after="120"/>
        <w:rPr>
          <w:rFonts w:cs="Arial"/>
          <w:color w:val="403152"/>
          <w:sz w:val="22"/>
          <w:szCs w:val="22"/>
        </w:rPr>
      </w:pPr>
      <w:bookmarkStart w:id="11" w:name="_Toc343686382"/>
      <w:r w:rsidRPr="00B667EB">
        <w:rPr>
          <w:rFonts w:cs="Arial"/>
          <w:color w:val="403152"/>
          <w:sz w:val="22"/>
          <w:szCs w:val="22"/>
        </w:rPr>
        <w:lastRenderedPageBreak/>
        <w:t>Appendix</w:t>
      </w:r>
      <w:r>
        <w:rPr>
          <w:rFonts w:cs="Arial"/>
          <w:color w:val="403152"/>
          <w:sz w:val="22"/>
          <w:szCs w:val="22"/>
        </w:rPr>
        <w:t xml:space="preserve"> </w:t>
      </w:r>
      <w:proofErr w:type="gramStart"/>
      <w:r>
        <w:rPr>
          <w:rFonts w:cs="Arial"/>
          <w:color w:val="403152"/>
          <w:sz w:val="22"/>
          <w:szCs w:val="22"/>
        </w:rPr>
        <w:t>A</w:t>
      </w:r>
      <w:proofErr w:type="gramEnd"/>
      <w:r w:rsidRPr="00B667EB">
        <w:rPr>
          <w:rFonts w:cs="Arial"/>
          <w:color w:val="403152"/>
          <w:sz w:val="22"/>
          <w:szCs w:val="22"/>
        </w:rPr>
        <w:t xml:space="preserve"> </w:t>
      </w:r>
      <w:r>
        <w:rPr>
          <w:rFonts w:cs="Arial"/>
          <w:color w:val="403152"/>
          <w:sz w:val="22"/>
          <w:szCs w:val="22"/>
        </w:rPr>
        <w:t xml:space="preserve">– </w:t>
      </w:r>
      <w:r w:rsidR="00C74DA8">
        <w:rPr>
          <w:rFonts w:cs="Arial"/>
          <w:color w:val="403152"/>
          <w:sz w:val="22"/>
          <w:szCs w:val="22"/>
        </w:rPr>
        <w:t>Survey</w:t>
      </w:r>
      <w:bookmarkEnd w:id="11"/>
    </w:p>
    <w:p w:rsidR="00C94F16" w:rsidRPr="00DF4D66" w:rsidRDefault="00C94F16" w:rsidP="00C94F16">
      <w:pPr>
        <w:rPr>
          <w:rFonts w:ascii="Arial" w:eastAsia="Times New Roman" w:hAnsi="Arial" w:cs="Arial"/>
          <w:b/>
          <w:color w:val="403152"/>
          <w:kern w:val="28"/>
        </w:rPr>
      </w:pPr>
    </w:p>
    <w:sectPr w:rsidR="00C94F16" w:rsidRPr="00DF4D66" w:rsidSect="00D775D4">
      <w:pgSz w:w="11906" w:h="16838"/>
      <w:pgMar w:top="2268" w:right="1440"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3FE" w:rsidRDefault="004C13FE">
      <w:pPr>
        <w:spacing w:after="0" w:line="240" w:lineRule="auto"/>
      </w:pPr>
      <w:r>
        <w:separator/>
      </w:r>
    </w:p>
  </w:endnote>
  <w:endnote w:type="continuationSeparator" w:id="0">
    <w:p w:rsidR="004C13FE" w:rsidRDefault="004C1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Pr="00D70A05" w:rsidRDefault="00C52C9A" w:rsidP="00D775D4">
    <w:pPr>
      <w:pStyle w:val="Footer"/>
      <w:jc w:val="right"/>
      <w:rPr>
        <w:rFonts w:ascii="Arial" w:hAnsi="Arial" w:cs="Arial"/>
        <w:sz w:val="18"/>
        <w:szCs w:val="18"/>
      </w:rPr>
    </w:pPr>
  </w:p>
  <w:p w:rsidR="00C52C9A" w:rsidRDefault="00C52C9A" w:rsidP="00D775D4">
    <w:pPr>
      <w:pStyle w:val="Footer"/>
      <w:ind w:right="-74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Pr="00D70A05" w:rsidRDefault="00C52C9A">
    <w:pPr>
      <w:pStyle w:val="Footer"/>
      <w:jc w:val="center"/>
      <w:rPr>
        <w:rFonts w:ascii="Arial" w:hAnsi="Arial" w:cs="Arial"/>
        <w:sz w:val="18"/>
        <w:szCs w:val="18"/>
      </w:rPr>
    </w:pPr>
  </w:p>
  <w:p w:rsidR="00C52C9A" w:rsidRDefault="00C52C9A" w:rsidP="00D775D4">
    <w:pPr>
      <w:pStyle w:val="Footer"/>
      <w:ind w:right="-74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51323"/>
      <w:docPartObj>
        <w:docPartGallery w:val="Page Numbers (Bottom of Page)"/>
        <w:docPartUnique/>
      </w:docPartObj>
    </w:sdtPr>
    <w:sdtEndPr>
      <w:rPr>
        <w:rFonts w:ascii="Arial" w:hAnsi="Arial" w:cs="Arial"/>
        <w:noProof/>
        <w:sz w:val="18"/>
        <w:szCs w:val="18"/>
      </w:rPr>
    </w:sdtEndPr>
    <w:sdtContent>
      <w:p w:rsidR="00C52C9A" w:rsidRPr="00D70A05" w:rsidRDefault="004A464E">
        <w:pPr>
          <w:pStyle w:val="Footer"/>
          <w:jc w:val="center"/>
          <w:rPr>
            <w:rFonts w:ascii="Arial" w:hAnsi="Arial" w:cs="Arial"/>
            <w:sz w:val="18"/>
            <w:szCs w:val="18"/>
          </w:rPr>
        </w:pPr>
        <w:r w:rsidRPr="00D70A05">
          <w:rPr>
            <w:rFonts w:ascii="Arial" w:hAnsi="Arial" w:cs="Arial"/>
            <w:sz w:val="18"/>
            <w:szCs w:val="18"/>
          </w:rPr>
          <w:fldChar w:fldCharType="begin"/>
        </w:r>
        <w:r w:rsidR="00C52C9A" w:rsidRPr="00D70A05">
          <w:rPr>
            <w:rFonts w:ascii="Arial" w:hAnsi="Arial" w:cs="Arial"/>
            <w:sz w:val="18"/>
            <w:szCs w:val="18"/>
          </w:rPr>
          <w:instrText xml:space="preserve"> PAGE   \* MERGEFORMAT </w:instrText>
        </w:r>
        <w:r w:rsidRPr="00D70A05">
          <w:rPr>
            <w:rFonts w:ascii="Arial" w:hAnsi="Arial" w:cs="Arial"/>
            <w:sz w:val="18"/>
            <w:szCs w:val="18"/>
          </w:rPr>
          <w:fldChar w:fldCharType="separate"/>
        </w:r>
        <w:r w:rsidR="007643B7">
          <w:rPr>
            <w:rFonts w:ascii="Arial" w:hAnsi="Arial" w:cs="Arial"/>
            <w:noProof/>
            <w:sz w:val="18"/>
            <w:szCs w:val="18"/>
          </w:rPr>
          <w:t>30</w:t>
        </w:r>
        <w:r w:rsidRPr="00D70A05">
          <w:rPr>
            <w:rFonts w:ascii="Arial" w:hAnsi="Arial" w:cs="Arial"/>
            <w:noProof/>
            <w:sz w:val="18"/>
            <w:szCs w:val="18"/>
          </w:rPr>
          <w:fldChar w:fldCharType="end"/>
        </w:r>
      </w:p>
    </w:sdtContent>
  </w:sdt>
  <w:p w:rsidR="00C52C9A" w:rsidRDefault="00C52C9A" w:rsidP="00D775D4">
    <w:pPr>
      <w:pStyle w:val="Footer"/>
      <w:ind w:right="-74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3FE" w:rsidRDefault="004C13FE">
      <w:pPr>
        <w:spacing w:after="0" w:line="240" w:lineRule="auto"/>
      </w:pPr>
      <w:r>
        <w:separator/>
      </w:r>
    </w:p>
  </w:footnote>
  <w:footnote w:type="continuationSeparator" w:id="0">
    <w:p w:rsidR="004C13FE" w:rsidRDefault="004C13FE">
      <w:pPr>
        <w:spacing w:after="0" w:line="240" w:lineRule="auto"/>
      </w:pPr>
      <w:r>
        <w:continuationSeparator/>
      </w:r>
    </w:p>
  </w:footnote>
  <w:footnote w:id="1">
    <w:p w:rsidR="00C52C9A" w:rsidRPr="00B63B21" w:rsidRDefault="00C52C9A">
      <w:pPr>
        <w:pStyle w:val="FootnoteText"/>
        <w:rPr>
          <w:rFonts w:ascii="Arial" w:hAnsi="Arial" w:cs="Arial"/>
          <w:sz w:val="18"/>
          <w:szCs w:val="18"/>
        </w:rPr>
      </w:pPr>
      <w:r w:rsidRPr="008D7A7C">
        <w:rPr>
          <w:rStyle w:val="FootnoteReference"/>
          <w:sz w:val="18"/>
          <w:szCs w:val="18"/>
        </w:rPr>
        <w:footnoteRef/>
      </w:r>
      <w:r w:rsidRPr="008D7A7C">
        <w:rPr>
          <w:sz w:val="18"/>
          <w:szCs w:val="18"/>
        </w:rPr>
        <w:t xml:space="preserve"> </w:t>
      </w:r>
      <w:r w:rsidRPr="00B63B21">
        <w:rPr>
          <w:rFonts w:ascii="Arial" w:hAnsi="Arial" w:cs="Arial"/>
          <w:sz w:val="18"/>
          <w:szCs w:val="18"/>
        </w:rPr>
        <w:t>Source Penzance and Isles of Scilly Strategic Investment Framework 2009</w:t>
      </w:r>
    </w:p>
  </w:footnote>
  <w:footnote w:id="2">
    <w:p w:rsidR="00C52C9A" w:rsidRPr="008D7A7C" w:rsidRDefault="00C52C9A">
      <w:pPr>
        <w:pStyle w:val="FootnoteText"/>
        <w:rPr>
          <w:rFonts w:ascii="Arial" w:hAnsi="Arial" w:cs="Arial"/>
          <w:sz w:val="18"/>
          <w:szCs w:val="18"/>
        </w:rPr>
      </w:pPr>
      <w:r w:rsidRPr="008D7A7C">
        <w:rPr>
          <w:rStyle w:val="FootnoteReference"/>
          <w:sz w:val="18"/>
          <w:szCs w:val="18"/>
        </w:rPr>
        <w:footnoteRef/>
      </w:r>
      <w:r w:rsidR="00090031" w:rsidRPr="008D7A7C">
        <w:rPr>
          <w:sz w:val="18"/>
          <w:szCs w:val="18"/>
        </w:rPr>
        <w:t xml:space="preserve"> </w:t>
      </w:r>
      <w:r w:rsidR="00090031" w:rsidRPr="008D7A7C">
        <w:rPr>
          <w:rFonts w:ascii="Arial" w:hAnsi="Arial" w:cs="Arial"/>
          <w:sz w:val="18"/>
          <w:szCs w:val="18"/>
        </w:rPr>
        <w:t xml:space="preserve">Isles of Scilly Local Development Framework AMR April 2011 to March 2012. The six dwellings are </w:t>
      </w:r>
      <w:r w:rsidR="00090031" w:rsidRPr="008D7A7C">
        <w:rPr>
          <w:rFonts w:ascii="Arial" w:hAnsi="Arial" w:cs="Arial"/>
          <w:sz w:val="18"/>
          <w:szCs w:val="18"/>
          <w:lang w:val="en-US"/>
        </w:rPr>
        <w:t xml:space="preserve">3 on St Agnes and 2 on St Martin’s built by Cornwall Rural Housing Association and 1 at Watermill on St Mary’s built by the Duchy of Cornwall.  CRHA also completed 2 dwellings on </w:t>
      </w:r>
      <w:proofErr w:type="spellStart"/>
      <w:r w:rsidR="00090031" w:rsidRPr="008D7A7C">
        <w:rPr>
          <w:rFonts w:ascii="Arial" w:hAnsi="Arial" w:cs="Arial"/>
          <w:sz w:val="18"/>
          <w:szCs w:val="18"/>
          <w:lang w:val="en-US"/>
        </w:rPr>
        <w:t>Bryher</w:t>
      </w:r>
      <w:proofErr w:type="spellEnd"/>
      <w:r w:rsidR="00090031" w:rsidRPr="008D7A7C">
        <w:rPr>
          <w:rFonts w:ascii="Arial" w:hAnsi="Arial" w:cs="Arial"/>
          <w:sz w:val="18"/>
          <w:szCs w:val="18"/>
          <w:lang w:val="en-US"/>
        </w:rPr>
        <w:t xml:space="preserve"> in 2010/11).</w:t>
      </w:r>
      <w:r w:rsidRPr="008D7A7C">
        <w:rPr>
          <w:rFonts w:ascii="Arial" w:hAnsi="Arial" w:cs="Arial"/>
          <w:sz w:val="18"/>
          <w:szCs w:val="18"/>
        </w:rPr>
        <w:t xml:space="preserve"> Please note that this figure </w:t>
      </w:r>
      <w:r w:rsidR="006E59FB" w:rsidRPr="008D7A7C">
        <w:rPr>
          <w:rFonts w:ascii="Arial" w:hAnsi="Arial" w:cs="Arial"/>
          <w:sz w:val="18"/>
          <w:szCs w:val="18"/>
        </w:rPr>
        <w:t>differs</w:t>
      </w:r>
      <w:r w:rsidRPr="008D7A7C">
        <w:rPr>
          <w:rFonts w:ascii="Arial" w:hAnsi="Arial" w:cs="Arial"/>
          <w:sz w:val="18"/>
          <w:szCs w:val="18"/>
        </w:rPr>
        <w:t xml:space="preserve"> from published data available on the DCLG website (details </w:t>
      </w:r>
      <w:r w:rsidR="006E59FB" w:rsidRPr="008D7A7C">
        <w:rPr>
          <w:rFonts w:ascii="Arial" w:hAnsi="Arial" w:cs="Arial"/>
          <w:sz w:val="18"/>
          <w:szCs w:val="18"/>
        </w:rPr>
        <w:t xml:space="preserve">in </w:t>
      </w:r>
      <w:r w:rsidRPr="008D7A7C">
        <w:rPr>
          <w:rFonts w:ascii="Arial" w:hAnsi="Arial" w:cs="Arial"/>
          <w:sz w:val="18"/>
          <w:szCs w:val="18"/>
        </w:rPr>
        <w:t>the next footnote)</w:t>
      </w:r>
      <w:r w:rsidR="00B63B21" w:rsidRPr="008D7A7C">
        <w:rPr>
          <w:rFonts w:ascii="Arial" w:hAnsi="Arial" w:cs="Arial"/>
          <w:sz w:val="18"/>
          <w:szCs w:val="18"/>
        </w:rPr>
        <w:t xml:space="preserve"> </w:t>
      </w:r>
      <w:r w:rsidR="006E59FB" w:rsidRPr="008D7A7C">
        <w:rPr>
          <w:rFonts w:ascii="Arial" w:hAnsi="Arial" w:cs="Arial"/>
          <w:sz w:val="18"/>
          <w:szCs w:val="18"/>
        </w:rPr>
        <w:t>which</w:t>
      </w:r>
      <w:r w:rsidRPr="008D7A7C">
        <w:rPr>
          <w:rFonts w:ascii="Arial" w:hAnsi="Arial" w:cs="Arial"/>
          <w:sz w:val="18"/>
          <w:szCs w:val="18"/>
        </w:rPr>
        <w:t xml:space="preserve"> show</w:t>
      </w:r>
      <w:r w:rsidR="00B63B21" w:rsidRPr="008D7A7C">
        <w:rPr>
          <w:rFonts w:ascii="Arial" w:hAnsi="Arial" w:cs="Arial"/>
          <w:sz w:val="18"/>
          <w:szCs w:val="18"/>
        </w:rPr>
        <w:t>s</w:t>
      </w:r>
      <w:r w:rsidRPr="008D7A7C">
        <w:rPr>
          <w:rFonts w:ascii="Arial" w:hAnsi="Arial" w:cs="Arial"/>
          <w:sz w:val="18"/>
          <w:szCs w:val="18"/>
        </w:rPr>
        <w:t xml:space="preserve"> that </w:t>
      </w:r>
      <w:r w:rsidR="006E59FB" w:rsidRPr="008D7A7C">
        <w:rPr>
          <w:rFonts w:ascii="Arial" w:hAnsi="Arial" w:cs="Arial"/>
          <w:sz w:val="18"/>
          <w:szCs w:val="18"/>
        </w:rPr>
        <w:t>10</w:t>
      </w:r>
      <w:r w:rsidRPr="008D7A7C">
        <w:rPr>
          <w:rFonts w:ascii="Arial" w:hAnsi="Arial" w:cs="Arial"/>
          <w:sz w:val="18"/>
          <w:szCs w:val="18"/>
        </w:rPr>
        <w:t xml:space="preserve"> dwellings were built during 2011/12.</w:t>
      </w:r>
      <w:r w:rsidR="006E59FB" w:rsidRPr="008D7A7C">
        <w:rPr>
          <w:rFonts w:ascii="Arial" w:hAnsi="Arial" w:cs="Arial"/>
          <w:sz w:val="18"/>
          <w:szCs w:val="18"/>
        </w:rPr>
        <w:t xml:space="preserve"> This is thought to be a discrepancy in timing rather than actual figures. </w:t>
      </w:r>
    </w:p>
  </w:footnote>
  <w:footnote w:id="3">
    <w:p w:rsidR="00C52C9A" w:rsidRPr="00B63B21" w:rsidRDefault="00C52C9A" w:rsidP="000C6A01">
      <w:pPr>
        <w:pStyle w:val="FootnoteText"/>
        <w:rPr>
          <w:rFonts w:ascii="Arial" w:hAnsi="Arial" w:cs="Arial"/>
          <w:sz w:val="18"/>
          <w:szCs w:val="18"/>
        </w:rPr>
      </w:pPr>
      <w:r w:rsidRPr="00B63B21">
        <w:rPr>
          <w:rStyle w:val="FootnoteReference"/>
          <w:rFonts w:ascii="Arial" w:hAnsi="Arial" w:cs="Arial"/>
          <w:sz w:val="18"/>
          <w:szCs w:val="18"/>
        </w:rPr>
        <w:footnoteRef/>
      </w:r>
      <w:r w:rsidRPr="00B63B21">
        <w:rPr>
          <w:rFonts w:ascii="Arial" w:hAnsi="Arial" w:cs="Arial"/>
          <w:sz w:val="18"/>
          <w:szCs w:val="18"/>
        </w:rPr>
        <w:t xml:space="preserve"> Source - Department for Communities and Local Government - http://www.communities.gov.uk/housing/housingresearch/housingstatistics/housingstatisticsby/housebuilding/livetables/</w:t>
      </w:r>
    </w:p>
  </w:footnote>
  <w:footnote w:id="4">
    <w:p w:rsidR="00C52C9A" w:rsidRPr="00FF30E4" w:rsidRDefault="00C52C9A">
      <w:pPr>
        <w:pStyle w:val="FootnoteText"/>
        <w:rPr>
          <w:rFonts w:ascii="Arial" w:hAnsi="Arial" w:cs="Arial"/>
          <w:sz w:val="18"/>
          <w:szCs w:val="18"/>
        </w:rPr>
      </w:pPr>
      <w:r w:rsidRPr="00FF30E4">
        <w:rPr>
          <w:rStyle w:val="FootnoteReference"/>
          <w:rFonts w:ascii="Arial" w:hAnsi="Arial" w:cs="Arial"/>
          <w:sz w:val="18"/>
          <w:szCs w:val="18"/>
        </w:rPr>
        <w:footnoteRef/>
      </w:r>
      <w:r w:rsidRPr="00FF30E4">
        <w:rPr>
          <w:rFonts w:ascii="Arial" w:hAnsi="Arial" w:cs="Arial"/>
          <w:sz w:val="18"/>
          <w:szCs w:val="18"/>
        </w:rPr>
        <w:t xml:space="preserve"> Source – Department for Communities and Local Government</w:t>
      </w:r>
    </w:p>
  </w:footnote>
  <w:footnote w:id="5">
    <w:p w:rsidR="00C52C9A" w:rsidRPr="00FF30E4" w:rsidRDefault="00C52C9A">
      <w:pPr>
        <w:pStyle w:val="FootnoteText"/>
        <w:rPr>
          <w:rFonts w:ascii="Arial" w:hAnsi="Arial" w:cs="Arial"/>
          <w:sz w:val="18"/>
          <w:szCs w:val="18"/>
        </w:rPr>
      </w:pPr>
      <w:r w:rsidRPr="00FF30E4">
        <w:rPr>
          <w:rStyle w:val="FootnoteReference"/>
          <w:rFonts w:ascii="Arial" w:hAnsi="Arial" w:cs="Arial"/>
          <w:sz w:val="18"/>
          <w:szCs w:val="18"/>
        </w:rPr>
        <w:footnoteRef/>
      </w:r>
      <w:r w:rsidRPr="00FF30E4">
        <w:rPr>
          <w:rFonts w:ascii="Arial" w:hAnsi="Arial" w:cs="Arial"/>
          <w:sz w:val="18"/>
          <w:szCs w:val="18"/>
        </w:rPr>
        <w:t xml:space="preserve"> Source -  Department for Communities and Local Government - </w:t>
      </w:r>
      <w:hyperlink r:id="rId1" w:history="1">
        <w:r w:rsidRPr="00FF30E4">
          <w:rPr>
            <w:rStyle w:val="Hyperlink"/>
            <w:rFonts w:ascii="Arial" w:hAnsi="Arial" w:cs="Arial"/>
            <w:sz w:val="18"/>
            <w:szCs w:val="18"/>
          </w:rPr>
          <w:t>http://www.communities.gov.uk/housing/housingresearch/housingstatistics/housingstatisticsby/rentslettings/livetables/</w:t>
        </w:r>
      </w:hyperlink>
      <w:r w:rsidRPr="00FF30E4">
        <w:rPr>
          <w:rFonts w:ascii="Arial" w:hAnsi="Arial" w:cs="Arial"/>
          <w:sz w:val="18"/>
          <w:szCs w:val="18"/>
        </w:rPr>
        <w:t xml:space="preserve"> and the Council for private renting and Duchy rents (2012 figs)</w:t>
      </w:r>
    </w:p>
  </w:footnote>
  <w:footnote w:id="6">
    <w:p w:rsidR="00C52C9A" w:rsidRPr="00FF30E4" w:rsidRDefault="00C52C9A">
      <w:pPr>
        <w:pStyle w:val="FootnoteText"/>
        <w:rPr>
          <w:rFonts w:ascii="Arial" w:hAnsi="Arial" w:cs="Arial"/>
          <w:sz w:val="18"/>
          <w:szCs w:val="18"/>
        </w:rPr>
      </w:pPr>
      <w:r w:rsidRPr="00FF30E4">
        <w:rPr>
          <w:rStyle w:val="FootnoteReference"/>
          <w:rFonts w:ascii="Arial" w:hAnsi="Arial" w:cs="Arial"/>
          <w:sz w:val="18"/>
          <w:szCs w:val="18"/>
        </w:rPr>
        <w:footnoteRef/>
      </w:r>
      <w:r w:rsidRPr="00FF30E4">
        <w:rPr>
          <w:rFonts w:ascii="Arial" w:hAnsi="Arial" w:cs="Arial"/>
          <w:sz w:val="18"/>
          <w:szCs w:val="18"/>
        </w:rPr>
        <w:t xml:space="preserve"> Source – Draft Tenancy Strategy, 2012</w:t>
      </w:r>
    </w:p>
  </w:footnote>
  <w:footnote w:id="7">
    <w:p w:rsidR="00C52C9A" w:rsidRPr="00FF30E4" w:rsidRDefault="00C52C9A">
      <w:pPr>
        <w:pStyle w:val="FootnoteText"/>
        <w:rPr>
          <w:rFonts w:ascii="Arial" w:hAnsi="Arial" w:cs="Arial"/>
          <w:sz w:val="18"/>
          <w:szCs w:val="18"/>
        </w:rPr>
      </w:pPr>
      <w:r w:rsidRPr="00FF30E4">
        <w:rPr>
          <w:rStyle w:val="FootnoteReference"/>
          <w:rFonts w:ascii="Arial" w:hAnsi="Arial" w:cs="Arial"/>
          <w:sz w:val="18"/>
          <w:szCs w:val="18"/>
        </w:rPr>
        <w:footnoteRef/>
      </w:r>
      <w:r w:rsidRPr="00FF30E4">
        <w:rPr>
          <w:rFonts w:ascii="Arial" w:hAnsi="Arial" w:cs="Arial"/>
          <w:sz w:val="18"/>
          <w:szCs w:val="18"/>
        </w:rPr>
        <w:t xml:space="preserve"> http://www.nomisweb.co.uk/reports/lmp/la/2038431903/report.aspx</w:t>
      </w:r>
    </w:p>
  </w:footnote>
  <w:footnote w:id="8">
    <w:p w:rsidR="00C52C9A" w:rsidRDefault="00C52C9A">
      <w:pPr>
        <w:pStyle w:val="FootnoteText"/>
      </w:pPr>
      <w:r w:rsidRPr="00F726F7">
        <w:rPr>
          <w:rStyle w:val="FootnoteReference"/>
          <w:rFonts w:ascii="Arial" w:hAnsi="Arial" w:cs="Arial"/>
          <w:sz w:val="16"/>
          <w:szCs w:val="16"/>
        </w:rPr>
        <w:footnoteRef/>
      </w:r>
      <w:r w:rsidRPr="00F726F7">
        <w:rPr>
          <w:rFonts w:ascii="Arial" w:hAnsi="Arial" w:cs="Arial"/>
          <w:sz w:val="16"/>
          <w:szCs w:val="16"/>
        </w:rPr>
        <w:t xml:space="preserve"> Note this information is for 2008</w:t>
      </w:r>
    </w:p>
  </w:footnote>
  <w:footnote w:id="9">
    <w:p w:rsidR="00C52C9A" w:rsidRDefault="00C52C9A" w:rsidP="00FE3631">
      <w:pPr>
        <w:pStyle w:val="FootnoteText"/>
      </w:pPr>
      <w:r>
        <w:rPr>
          <w:rStyle w:val="FootnoteReference"/>
        </w:rPr>
        <w:footnoteRef/>
      </w:r>
      <w:r>
        <w:t xml:space="preserve"> Source – Department for Communities and Local Government - </w:t>
      </w:r>
      <w:r w:rsidRPr="00C07A04">
        <w:t>https://www.gov.uk/government/uploads/system/uploads/attachment_data/file/6748/2173483.pdf</w:t>
      </w:r>
    </w:p>
  </w:footnote>
  <w:footnote w:id="10">
    <w:p w:rsidR="00C52C9A" w:rsidRDefault="00C52C9A">
      <w:pPr>
        <w:pStyle w:val="FootnoteText"/>
      </w:pPr>
      <w:r>
        <w:rPr>
          <w:rStyle w:val="FootnoteReference"/>
        </w:rPr>
        <w:footnoteRef/>
      </w:r>
      <w:r>
        <w:t xml:space="preserve"> Based on analysis of advertised properties on rental site </w:t>
      </w:r>
      <w:proofErr w:type="spellStart"/>
      <w:r>
        <w:t>Zoopla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Pr="002900D8" w:rsidRDefault="00C52C9A" w:rsidP="00DF4D66">
    <w:pPr>
      <w:pStyle w:val="Header"/>
      <w:tabs>
        <w:tab w:val="clear" w:pos="9026"/>
        <w:tab w:val="right" w:pos="14175"/>
      </w:tabs>
      <w:ind w:right="-32"/>
      <w:jc w:val="right"/>
      <w:rPr>
        <w:rFonts w:ascii="Arial" w:hAnsi="Arial" w:cs="Arial"/>
        <w:i/>
        <w:sz w:val="18"/>
        <w:szCs w:val="18"/>
      </w:rPr>
    </w:pPr>
    <w:r>
      <w:rPr>
        <w:noProof/>
        <w:lang w:eastAsia="en-GB"/>
      </w:rPr>
      <w:drawing>
        <wp:anchor distT="0" distB="0" distL="114300" distR="114300" simplePos="0" relativeHeight="251657216" behindDoc="0" locked="0" layoutInCell="1" allowOverlap="1">
          <wp:simplePos x="0" y="0"/>
          <wp:positionH relativeFrom="column">
            <wp:posOffset>-840105</wp:posOffset>
          </wp:positionH>
          <wp:positionV relativeFrom="paragraph">
            <wp:posOffset>-361315</wp:posOffset>
          </wp:positionV>
          <wp:extent cx="1485900" cy="990600"/>
          <wp:effectExtent l="0" t="0" r="0" b="0"/>
          <wp:wrapSquare wrapText="bothSides"/>
          <wp:docPr id="4" name="Picture 4" descr="altair-new-logo from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ir-new-logo from April"/>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anchor>
      </w:drawing>
    </w:r>
    <w:r>
      <w:tab/>
    </w:r>
    <w:r>
      <w:rPr>
        <w:rFonts w:ascii="Arial" w:hAnsi="Arial" w:cs="Arial"/>
        <w:i/>
        <w:sz w:val="18"/>
        <w:szCs w:val="18"/>
      </w:rPr>
      <w:t>Council for the Isles of Scilly</w:t>
    </w:r>
  </w:p>
  <w:p w:rsidR="00C52C9A" w:rsidRPr="002900D8" w:rsidRDefault="00C52C9A" w:rsidP="00DF4D66">
    <w:pPr>
      <w:pStyle w:val="Header"/>
      <w:tabs>
        <w:tab w:val="clear" w:pos="9026"/>
        <w:tab w:val="right" w:pos="14175"/>
      </w:tabs>
      <w:ind w:right="-32"/>
      <w:jc w:val="right"/>
      <w:rPr>
        <w:i/>
        <w:sz w:val="18"/>
        <w:szCs w:val="18"/>
      </w:rPr>
    </w:pPr>
    <w:r>
      <w:rPr>
        <w:rFonts w:ascii="Arial" w:hAnsi="Arial" w:cs="Arial"/>
        <w:i/>
        <w:sz w:val="18"/>
        <w:szCs w:val="18"/>
      </w:rPr>
      <w:t xml:space="preserve">Housing Needs Survey – </w:t>
    </w:r>
    <w:r w:rsidR="009A2391">
      <w:rPr>
        <w:rFonts w:ascii="Arial" w:hAnsi="Arial" w:cs="Arial"/>
        <w:i/>
        <w:sz w:val="18"/>
        <w:szCs w:val="18"/>
      </w:rPr>
      <w:t>January 2013</w:t>
    </w:r>
    <w:r>
      <w:rPr>
        <w:rFonts w:ascii="Arial" w:hAnsi="Arial" w:cs="Arial"/>
        <w:i/>
        <w:sz w:val="18"/>
        <w:szCs w:val="18"/>
      </w:rPr>
      <w:t xml:space="preserve"> </w:t>
    </w:r>
  </w:p>
  <w:p w:rsidR="00C52C9A" w:rsidRPr="002F04C0" w:rsidRDefault="00C52C9A" w:rsidP="00D775D4">
    <w:pPr>
      <w:pStyle w:val="Header"/>
      <w:tabs>
        <w:tab w:val="clear" w:pos="9026"/>
        <w:tab w:val="right" w:pos="14175"/>
      </w:tabs>
      <w:rPr>
        <w:i/>
      </w:rPr>
    </w:pPr>
    <w:r>
      <w:tab/>
    </w:r>
  </w:p>
  <w:p w:rsidR="00C52C9A" w:rsidRPr="002F04C0" w:rsidRDefault="00C52C9A" w:rsidP="00D775D4">
    <w:pPr>
      <w:pStyle w:val="Header"/>
      <w:tabs>
        <w:tab w:val="clear" w:pos="9026"/>
        <w:tab w:val="right" w:pos="14175"/>
      </w:tabs>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Default="00C52C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Default="00C52C9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Default="00C52C9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9A" w:rsidRDefault="00C52C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D7D8A"/>
    <w:multiLevelType w:val="multilevel"/>
    <w:tmpl w:val="9B06BCC4"/>
    <w:lvl w:ilvl="0">
      <w:start w:val="1"/>
      <w:numFmt w:val="decimal"/>
      <w:pStyle w:val="Legal1"/>
      <w:lvlText w:val="%1"/>
      <w:lvlJc w:val="left"/>
      <w:pPr>
        <w:tabs>
          <w:tab w:val="num" w:pos="0"/>
        </w:tabs>
        <w:ind w:left="0" w:firstLine="0"/>
      </w:pPr>
      <w:rPr>
        <w:rFonts w:hint="default"/>
        <w:color w:val="403152"/>
      </w:rPr>
    </w:lvl>
    <w:lvl w:ilvl="1">
      <w:start w:val="1"/>
      <w:numFmt w:val="decimal"/>
      <w:lvlText w:val="%1.%2"/>
      <w:lvlJc w:val="left"/>
      <w:pPr>
        <w:tabs>
          <w:tab w:val="num" w:pos="2340"/>
        </w:tabs>
        <w:ind w:left="2340" w:hanging="720"/>
      </w:pPr>
      <w:rPr>
        <w:rFonts w:hint="default"/>
        <w:b w:val="0"/>
        <w:color w:val="403152"/>
      </w:rPr>
    </w:lvl>
    <w:lvl w:ilvl="2">
      <w:start w:val="1"/>
      <w:numFmt w:val="decimal"/>
      <w:pStyle w:val="Legal3"/>
      <w:lvlText w:val="%1.%2.%3"/>
      <w:lvlJc w:val="left"/>
      <w:pPr>
        <w:tabs>
          <w:tab w:val="num" w:pos="1004"/>
        </w:tabs>
        <w:ind w:left="284" w:firstLine="0"/>
      </w:pPr>
      <w:rPr>
        <w:rFonts w:hint="default"/>
        <w:b w:val="0"/>
        <w:i w:val="0"/>
        <w:color w:val="403152"/>
        <w:sz w:val="22"/>
        <w:szCs w:val="22"/>
      </w:rPr>
    </w:lvl>
    <w:lvl w:ilvl="3">
      <w:start w:val="1"/>
      <w:numFmt w:val="decimal"/>
      <w:lvlText w:val="%4.%3.1.1"/>
      <w:lvlJc w:val="left"/>
      <w:pPr>
        <w:tabs>
          <w:tab w:val="num" w:pos="108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30D52128"/>
    <w:multiLevelType w:val="hybridMultilevel"/>
    <w:tmpl w:val="4C20F274"/>
    <w:lvl w:ilvl="0" w:tplc="0F98B708">
      <w:start w:val="1"/>
      <w:numFmt w:val="bullet"/>
      <w:lvlText w:val="­"/>
      <w:lvlJc w:val="left"/>
      <w:pPr>
        <w:ind w:left="720" w:hanging="360"/>
      </w:pPr>
      <w:rPr>
        <w:rFonts w:ascii="Courier New" w:hAnsi="Courier New" w:hint="default"/>
        <w:color w:val="403152" w:themeColor="accent4"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D67C97"/>
    <w:multiLevelType w:val="multilevel"/>
    <w:tmpl w:val="126C1A7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5B330F28"/>
    <w:multiLevelType w:val="hybridMultilevel"/>
    <w:tmpl w:val="44C46DEE"/>
    <w:lvl w:ilvl="0" w:tplc="8B407B42">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292931"/>
    <w:multiLevelType w:val="multilevel"/>
    <w:tmpl w:val="D3F84DE2"/>
    <w:lvl w:ilvl="0">
      <w:start w:val="1"/>
      <w:numFmt w:val="decimal"/>
      <w:lvlText w:val="%1"/>
      <w:lvlJc w:val="left"/>
      <w:pPr>
        <w:tabs>
          <w:tab w:val="num" w:pos="432"/>
        </w:tabs>
        <w:ind w:left="432" w:hanging="432"/>
      </w:pPr>
      <w:rPr>
        <w:rFonts w:hint="default"/>
      </w:rPr>
    </w:lvl>
    <w:lvl w:ilvl="1">
      <w:start w:val="1"/>
      <w:numFmt w:val="decimal"/>
      <w:pStyle w:val="StyleHeading28pt"/>
      <w:lvlText w:val="%1.%2"/>
      <w:lvlJc w:val="left"/>
      <w:pPr>
        <w:tabs>
          <w:tab w:val="num" w:pos="720"/>
        </w:tabs>
        <w:ind w:left="720" w:hanging="720"/>
      </w:pPr>
      <w:rPr>
        <w:rFonts w:ascii="Arial" w:hAnsi="Arial" w:hint="default"/>
        <w:b w:val="0"/>
        <w:i w:val="0"/>
        <w:sz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4"/>
  </w:num>
  <w:num w:numId="5">
    <w:abstractNumId w:val="3"/>
  </w:num>
  <w:num w:numId="6">
    <w:abstractNumId w:val="1"/>
  </w:num>
  <w:num w:numId="7">
    <w:abstractNumId w:val="0"/>
  </w:num>
  <w:num w:numId="8">
    <w:abstractNumId w:val="0"/>
  </w:num>
  <w:num w:numId="9">
    <w:abstractNumId w:val="0"/>
  </w:num>
  <w:num w:numId="10">
    <w:abstractNumId w:val="0"/>
  </w:num>
  <w:num w:numId="11">
    <w:abstractNumId w:val="0"/>
    <w:lvlOverride w:ilvl="0">
      <w:startOverride w:val="4"/>
    </w:lvlOverride>
    <w:lvlOverride w:ilvl="1">
      <w:startOverride w:val="4"/>
    </w:lvlOverride>
    <w:lvlOverride w:ilvl="2">
      <w:startOverride w:val="2"/>
    </w:lvlOverride>
  </w:num>
  <w:num w:numId="12">
    <w:abstractNumId w:val="0"/>
  </w:num>
  <w:num w:numId="13">
    <w:abstractNumId w:val="0"/>
  </w:num>
  <w:num w:numId="14">
    <w:abstractNumId w:val="0"/>
  </w:num>
  <w:num w:numId="15">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C94F16"/>
    <w:rsid w:val="00004506"/>
    <w:rsid w:val="000073B1"/>
    <w:rsid w:val="000347D5"/>
    <w:rsid w:val="00051563"/>
    <w:rsid w:val="00063A94"/>
    <w:rsid w:val="00082AE0"/>
    <w:rsid w:val="00087910"/>
    <w:rsid w:val="00090031"/>
    <w:rsid w:val="0009259D"/>
    <w:rsid w:val="000A7111"/>
    <w:rsid w:val="000C3469"/>
    <w:rsid w:val="000C6A01"/>
    <w:rsid w:val="000E3958"/>
    <w:rsid w:val="00106C2E"/>
    <w:rsid w:val="00107011"/>
    <w:rsid w:val="00132318"/>
    <w:rsid w:val="00154058"/>
    <w:rsid w:val="00165A35"/>
    <w:rsid w:val="001669D7"/>
    <w:rsid w:val="00192EA1"/>
    <w:rsid w:val="001A5810"/>
    <w:rsid w:val="001E25A6"/>
    <w:rsid w:val="00203B1F"/>
    <w:rsid w:val="00205961"/>
    <w:rsid w:val="00212993"/>
    <w:rsid w:val="00214469"/>
    <w:rsid w:val="0024767E"/>
    <w:rsid w:val="00267BBE"/>
    <w:rsid w:val="00272208"/>
    <w:rsid w:val="00273C97"/>
    <w:rsid w:val="00292FEA"/>
    <w:rsid w:val="002B3889"/>
    <w:rsid w:val="002F1F06"/>
    <w:rsid w:val="00341F3A"/>
    <w:rsid w:val="00352C70"/>
    <w:rsid w:val="00370DF3"/>
    <w:rsid w:val="003D2190"/>
    <w:rsid w:val="003E07CF"/>
    <w:rsid w:val="00460194"/>
    <w:rsid w:val="004633FC"/>
    <w:rsid w:val="004646DE"/>
    <w:rsid w:val="00473ED2"/>
    <w:rsid w:val="004753D8"/>
    <w:rsid w:val="004A464E"/>
    <w:rsid w:val="004A7546"/>
    <w:rsid w:val="004B6C43"/>
    <w:rsid w:val="004C13FE"/>
    <w:rsid w:val="004D189A"/>
    <w:rsid w:val="004E5FBA"/>
    <w:rsid w:val="0051224E"/>
    <w:rsid w:val="005305C3"/>
    <w:rsid w:val="005538BB"/>
    <w:rsid w:val="0057704E"/>
    <w:rsid w:val="00581D8E"/>
    <w:rsid w:val="005C02D4"/>
    <w:rsid w:val="005C2FED"/>
    <w:rsid w:val="005C3034"/>
    <w:rsid w:val="005F4469"/>
    <w:rsid w:val="00627DB4"/>
    <w:rsid w:val="006358FB"/>
    <w:rsid w:val="006566C9"/>
    <w:rsid w:val="006610EE"/>
    <w:rsid w:val="00663F12"/>
    <w:rsid w:val="00670344"/>
    <w:rsid w:val="00681E8D"/>
    <w:rsid w:val="006B0D7B"/>
    <w:rsid w:val="006E59FB"/>
    <w:rsid w:val="006F7268"/>
    <w:rsid w:val="00723FD1"/>
    <w:rsid w:val="00737AAE"/>
    <w:rsid w:val="00743EAC"/>
    <w:rsid w:val="007634FD"/>
    <w:rsid w:val="007643B7"/>
    <w:rsid w:val="007C17BD"/>
    <w:rsid w:val="007D7271"/>
    <w:rsid w:val="007F403F"/>
    <w:rsid w:val="0080146F"/>
    <w:rsid w:val="00816A63"/>
    <w:rsid w:val="00817598"/>
    <w:rsid w:val="00852809"/>
    <w:rsid w:val="00857021"/>
    <w:rsid w:val="008602A2"/>
    <w:rsid w:val="0087683A"/>
    <w:rsid w:val="008939B8"/>
    <w:rsid w:val="008C083A"/>
    <w:rsid w:val="008D0FE6"/>
    <w:rsid w:val="008D2437"/>
    <w:rsid w:val="008D280B"/>
    <w:rsid w:val="008D5BA5"/>
    <w:rsid w:val="008D7A7C"/>
    <w:rsid w:val="008E61FC"/>
    <w:rsid w:val="00935BB3"/>
    <w:rsid w:val="00936BA3"/>
    <w:rsid w:val="00976024"/>
    <w:rsid w:val="00984EE7"/>
    <w:rsid w:val="00990DAA"/>
    <w:rsid w:val="009A2391"/>
    <w:rsid w:val="009A4406"/>
    <w:rsid w:val="009B1C11"/>
    <w:rsid w:val="009B3E13"/>
    <w:rsid w:val="00A23C65"/>
    <w:rsid w:val="00A260C3"/>
    <w:rsid w:val="00A26F63"/>
    <w:rsid w:val="00A93182"/>
    <w:rsid w:val="00AA0136"/>
    <w:rsid w:val="00AA25DD"/>
    <w:rsid w:val="00AB3874"/>
    <w:rsid w:val="00AB6789"/>
    <w:rsid w:val="00AC5BD7"/>
    <w:rsid w:val="00AE37DE"/>
    <w:rsid w:val="00AE7233"/>
    <w:rsid w:val="00AF0DF9"/>
    <w:rsid w:val="00AF3968"/>
    <w:rsid w:val="00AF6315"/>
    <w:rsid w:val="00AF682D"/>
    <w:rsid w:val="00B14598"/>
    <w:rsid w:val="00B2212C"/>
    <w:rsid w:val="00B2311E"/>
    <w:rsid w:val="00B5486B"/>
    <w:rsid w:val="00B609CC"/>
    <w:rsid w:val="00B63B21"/>
    <w:rsid w:val="00B665AD"/>
    <w:rsid w:val="00B82161"/>
    <w:rsid w:val="00B90BE2"/>
    <w:rsid w:val="00BA1423"/>
    <w:rsid w:val="00BB4857"/>
    <w:rsid w:val="00BC0D35"/>
    <w:rsid w:val="00BD3A90"/>
    <w:rsid w:val="00C05179"/>
    <w:rsid w:val="00C07A04"/>
    <w:rsid w:val="00C16121"/>
    <w:rsid w:val="00C52C9A"/>
    <w:rsid w:val="00C5462D"/>
    <w:rsid w:val="00C746D7"/>
    <w:rsid w:val="00C74DA8"/>
    <w:rsid w:val="00C77D77"/>
    <w:rsid w:val="00C81999"/>
    <w:rsid w:val="00C94F16"/>
    <w:rsid w:val="00CB352D"/>
    <w:rsid w:val="00CC25AC"/>
    <w:rsid w:val="00CE54F8"/>
    <w:rsid w:val="00D04BEB"/>
    <w:rsid w:val="00D123CD"/>
    <w:rsid w:val="00D17D25"/>
    <w:rsid w:val="00D5055D"/>
    <w:rsid w:val="00D55D75"/>
    <w:rsid w:val="00D573CA"/>
    <w:rsid w:val="00D63ABD"/>
    <w:rsid w:val="00D741AF"/>
    <w:rsid w:val="00D775D4"/>
    <w:rsid w:val="00D77A7F"/>
    <w:rsid w:val="00D82E3F"/>
    <w:rsid w:val="00D964EA"/>
    <w:rsid w:val="00DA44CA"/>
    <w:rsid w:val="00DC791F"/>
    <w:rsid w:val="00DF4D66"/>
    <w:rsid w:val="00E01E48"/>
    <w:rsid w:val="00E0364B"/>
    <w:rsid w:val="00E25796"/>
    <w:rsid w:val="00E35C82"/>
    <w:rsid w:val="00E52CD9"/>
    <w:rsid w:val="00E814CE"/>
    <w:rsid w:val="00E872EC"/>
    <w:rsid w:val="00EA197A"/>
    <w:rsid w:val="00EB34D9"/>
    <w:rsid w:val="00EB7DFA"/>
    <w:rsid w:val="00EC195D"/>
    <w:rsid w:val="00EC7AD6"/>
    <w:rsid w:val="00ED00CC"/>
    <w:rsid w:val="00EF6F14"/>
    <w:rsid w:val="00F138E9"/>
    <w:rsid w:val="00F2496F"/>
    <w:rsid w:val="00F42C9B"/>
    <w:rsid w:val="00F47697"/>
    <w:rsid w:val="00F505B6"/>
    <w:rsid w:val="00F6017E"/>
    <w:rsid w:val="00F726F7"/>
    <w:rsid w:val="00F82AD2"/>
    <w:rsid w:val="00F95C95"/>
    <w:rsid w:val="00FB3078"/>
    <w:rsid w:val="00FB61BB"/>
    <w:rsid w:val="00FC4C8D"/>
    <w:rsid w:val="00FE3631"/>
    <w:rsid w:val="00FF30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16"/>
  </w:style>
  <w:style w:type="paragraph" w:styleId="Heading1">
    <w:name w:val="heading 1"/>
    <w:basedOn w:val="Normal"/>
    <w:next w:val="Normal"/>
    <w:link w:val="Heading1Char"/>
    <w:qFormat/>
    <w:rsid w:val="00C94F16"/>
    <w:pPr>
      <w:keepNext/>
      <w:numPr>
        <w:numId w:val="2"/>
      </w:numPr>
      <w:spacing w:before="240" w:after="60" w:line="240" w:lineRule="auto"/>
      <w:jc w:val="both"/>
      <w:outlineLvl w:val="0"/>
    </w:pPr>
    <w:rPr>
      <w:rFonts w:ascii="Arial" w:eastAsia="Times New Roman" w:hAnsi="Arial" w:cs="Times New Roman"/>
      <w:b/>
      <w:kern w:val="28"/>
      <w:sz w:val="24"/>
      <w:szCs w:val="20"/>
    </w:rPr>
  </w:style>
  <w:style w:type="paragraph" w:styleId="Heading2">
    <w:name w:val="heading 2"/>
    <w:basedOn w:val="Normal"/>
    <w:next w:val="Normal"/>
    <w:link w:val="Heading2Char"/>
    <w:uiPriority w:val="9"/>
    <w:semiHidden/>
    <w:unhideWhenUsed/>
    <w:qFormat/>
    <w:rsid w:val="00C9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F16"/>
    <w:rPr>
      <w:rFonts w:ascii="Arial" w:eastAsia="Times New Roman" w:hAnsi="Arial" w:cs="Times New Roman"/>
      <w:b/>
      <w:kern w:val="28"/>
      <w:sz w:val="24"/>
      <w:szCs w:val="20"/>
    </w:rPr>
  </w:style>
  <w:style w:type="character" w:customStyle="1" w:styleId="Heading2Char">
    <w:name w:val="Heading 2 Char"/>
    <w:basedOn w:val="DefaultParagraphFont"/>
    <w:link w:val="Heading2"/>
    <w:uiPriority w:val="9"/>
    <w:semiHidden/>
    <w:rsid w:val="00C94F16"/>
    <w:rPr>
      <w:rFonts w:asciiTheme="majorHAnsi" w:eastAsiaTheme="majorEastAsia" w:hAnsiTheme="majorHAnsi" w:cstheme="majorBidi"/>
      <w:b/>
      <w:bCs/>
      <w:color w:val="4F81BD" w:themeColor="accent1"/>
      <w:sz w:val="26"/>
      <w:szCs w:val="26"/>
    </w:rPr>
  </w:style>
  <w:style w:type="paragraph" w:customStyle="1" w:styleId="Legal1">
    <w:name w:val="Legal 1"/>
    <w:basedOn w:val="Normal"/>
    <w:link w:val="Legal1Char"/>
    <w:rsid w:val="00C94F16"/>
    <w:pPr>
      <w:keepLines/>
      <w:widowControl w:val="0"/>
      <w:numPr>
        <w:numId w:val="1"/>
      </w:numPr>
      <w:overflowPunct w:val="0"/>
      <w:autoSpaceDE w:val="0"/>
      <w:autoSpaceDN w:val="0"/>
      <w:adjustRightInd w:val="0"/>
      <w:spacing w:after="240" w:line="240" w:lineRule="auto"/>
      <w:textAlignment w:val="baseline"/>
    </w:pPr>
    <w:rPr>
      <w:rFonts w:ascii="Arial Bold" w:eastAsia="Times New Roman" w:hAnsi="Arial Bold" w:cs="Times New Roman"/>
      <w:b/>
    </w:rPr>
  </w:style>
  <w:style w:type="paragraph" w:customStyle="1" w:styleId="Legal2">
    <w:name w:val="Legal 2"/>
    <w:basedOn w:val="Normal"/>
    <w:rsid w:val="00C94F16"/>
    <w:pPr>
      <w:spacing w:after="240" w:line="240" w:lineRule="auto"/>
      <w:jc w:val="both"/>
      <w:outlineLvl w:val="1"/>
    </w:pPr>
    <w:rPr>
      <w:rFonts w:ascii="Arial" w:eastAsia="Times New Roman" w:hAnsi="Arial" w:cs="Times New Roman"/>
    </w:rPr>
  </w:style>
  <w:style w:type="paragraph" w:customStyle="1" w:styleId="Legal3">
    <w:name w:val="Legal 3"/>
    <w:basedOn w:val="Normal"/>
    <w:rsid w:val="00C94F16"/>
    <w:pPr>
      <w:numPr>
        <w:ilvl w:val="2"/>
        <w:numId w:val="1"/>
      </w:numPr>
      <w:spacing w:after="240" w:line="240" w:lineRule="auto"/>
      <w:jc w:val="both"/>
      <w:outlineLvl w:val="2"/>
    </w:pPr>
    <w:rPr>
      <w:rFonts w:ascii="Arial" w:eastAsia="Times New Roman" w:hAnsi="Arial" w:cs="Times New Roman"/>
      <w:bCs/>
    </w:rPr>
  </w:style>
  <w:style w:type="character" w:customStyle="1" w:styleId="Legal1Char">
    <w:name w:val="Legal 1 Char"/>
    <w:link w:val="Legal1"/>
    <w:rsid w:val="00C94F16"/>
    <w:rPr>
      <w:rFonts w:ascii="Arial Bold" w:eastAsia="Times New Roman" w:hAnsi="Arial Bold" w:cs="Times New Roman"/>
      <w:b/>
    </w:rPr>
  </w:style>
  <w:style w:type="character" w:styleId="Hyperlink">
    <w:name w:val="Hyperlink"/>
    <w:basedOn w:val="DefaultParagraphFont"/>
    <w:uiPriority w:val="99"/>
    <w:unhideWhenUsed/>
    <w:rsid w:val="00C94F16"/>
    <w:rPr>
      <w:color w:val="0000FF" w:themeColor="hyperlink"/>
      <w:u w:val="single"/>
    </w:rPr>
  </w:style>
  <w:style w:type="paragraph" w:styleId="Header">
    <w:name w:val="header"/>
    <w:basedOn w:val="Normal"/>
    <w:link w:val="HeaderChar"/>
    <w:uiPriority w:val="99"/>
    <w:unhideWhenUsed/>
    <w:rsid w:val="00C94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F16"/>
  </w:style>
  <w:style w:type="paragraph" w:styleId="Footer">
    <w:name w:val="footer"/>
    <w:basedOn w:val="Normal"/>
    <w:link w:val="FooterChar"/>
    <w:uiPriority w:val="99"/>
    <w:unhideWhenUsed/>
    <w:rsid w:val="00C94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F16"/>
  </w:style>
  <w:style w:type="paragraph" w:styleId="TOC1">
    <w:name w:val="toc 1"/>
    <w:basedOn w:val="Normal"/>
    <w:next w:val="Normal"/>
    <w:autoRedefine/>
    <w:uiPriority w:val="39"/>
    <w:unhideWhenUsed/>
    <w:rsid w:val="00C94F16"/>
    <w:pPr>
      <w:tabs>
        <w:tab w:val="left" w:pos="440"/>
        <w:tab w:val="right" w:leader="dot" w:pos="9072"/>
      </w:tabs>
      <w:spacing w:after="100"/>
    </w:pPr>
  </w:style>
  <w:style w:type="paragraph" w:styleId="BodyText">
    <w:name w:val="Body Text"/>
    <w:basedOn w:val="Normal"/>
    <w:link w:val="BodyTextChar"/>
    <w:rsid w:val="00C94F16"/>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C94F16"/>
    <w:rPr>
      <w:rFonts w:ascii="Arial" w:eastAsia="Times New Roman" w:hAnsi="Arial" w:cs="Times New Roman"/>
      <w:sz w:val="24"/>
      <w:szCs w:val="20"/>
    </w:rPr>
  </w:style>
  <w:style w:type="paragraph" w:customStyle="1" w:styleId="StyleHeading28pt">
    <w:name w:val="Style Heading 2 + 8 pt"/>
    <w:basedOn w:val="Heading2"/>
    <w:link w:val="StyleHeading28ptChar"/>
    <w:rsid w:val="00C94F16"/>
    <w:pPr>
      <w:keepLines w:val="0"/>
      <w:numPr>
        <w:ilvl w:val="1"/>
        <w:numId w:val="4"/>
      </w:numPr>
      <w:spacing w:before="240" w:after="60" w:line="240" w:lineRule="auto"/>
      <w:jc w:val="both"/>
    </w:pPr>
    <w:rPr>
      <w:rFonts w:ascii="Arial" w:eastAsia="Times New Roman" w:hAnsi="Arial" w:cs="Times New Roman"/>
      <w:b w:val="0"/>
      <w:bCs w:val="0"/>
      <w:color w:val="auto"/>
      <w:sz w:val="16"/>
      <w:szCs w:val="28"/>
    </w:rPr>
  </w:style>
  <w:style w:type="character" w:customStyle="1" w:styleId="StyleHeading28ptChar">
    <w:name w:val="Style Heading 2 + 8 pt Char"/>
    <w:link w:val="StyleHeading28pt"/>
    <w:rsid w:val="00C94F16"/>
    <w:rPr>
      <w:rFonts w:ascii="Arial" w:eastAsia="Times New Roman" w:hAnsi="Arial" w:cs="Times New Roman"/>
      <w:sz w:val="16"/>
      <w:szCs w:val="28"/>
    </w:rPr>
  </w:style>
  <w:style w:type="paragraph" w:customStyle="1" w:styleId="StyleBodyText8ptLeft05Before2ptAfter2pt">
    <w:name w:val="Style Body Text + 8 pt Left:  0.5&quot; Before:  2 pt After:  2 pt"/>
    <w:basedOn w:val="BodyText"/>
    <w:rsid w:val="00C94F16"/>
    <w:pPr>
      <w:spacing w:before="40" w:after="40"/>
      <w:ind w:left="720"/>
      <w:jc w:val="both"/>
    </w:pPr>
    <w:rPr>
      <w:sz w:val="16"/>
      <w:szCs w:val="16"/>
      <w:lang w:val="en-US"/>
    </w:rPr>
  </w:style>
  <w:style w:type="table" w:styleId="TableGrid">
    <w:name w:val="Table Grid"/>
    <w:basedOn w:val="TableNormal"/>
    <w:uiPriority w:val="59"/>
    <w:rsid w:val="00C94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mtextalignleft">
    <w:name w:val="immtextalign_left"/>
    <w:basedOn w:val="Normal"/>
    <w:rsid w:val="00C94F16"/>
    <w:pPr>
      <w:spacing w:before="100" w:beforeAutospacing="1" w:after="100" w:afterAutospacing="1" w:line="240" w:lineRule="auto"/>
      <w:jc w:val="both"/>
    </w:pPr>
    <w:rPr>
      <w:rFonts w:ascii="Arial" w:eastAsia="Calibri" w:hAnsi="Arial" w:cs="Times New Roman"/>
      <w:sz w:val="31"/>
      <w:szCs w:val="31"/>
      <w:lang w:eastAsia="en-GB"/>
    </w:rPr>
  </w:style>
  <w:style w:type="paragraph" w:styleId="ListParagraph">
    <w:name w:val="List Paragraph"/>
    <w:basedOn w:val="Normal"/>
    <w:uiPriority w:val="34"/>
    <w:qFormat/>
    <w:rsid w:val="00C94F16"/>
    <w:pPr>
      <w:spacing w:before="100" w:beforeAutospacing="1" w:after="100" w:afterAutospacing="1" w:line="240" w:lineRule="auto"/>
      <w:ind w:left="720"/>
      <w:contextualSpacing/>
    </w:pPr>
    <w:rPr>
      <w:rFonts w:ascii="Arial" w:eastAsia="Times New Roman" w:hAnsi="Arial" w:cs="Times New Roman"/>
      <w:szCs w:val="24"/>
      <w:lang w:eastAsia="en-GB"/>
    </w:rPr>
  </w:style>
  <w:style w:type="character" w:styleId="Strong">
    <w:name w:val="Strong"/>
    <w:basedOn w:val="DefaultParagraphFont"/>
    <w:uiPriority w:val="22"/>
    <w:qFormat/>
    <w:rsid w:val="00C94F16"/>
    <w:rPr>
      <w:b/>
      <w:bCs/>
    </w:rPr>
  </w:style>
  <w:style w:type="paragraph" w:styleId="BalloonText">
    <w:name w:val="Balloon Text"/>
    <w:basedOn w:val="Normal"/>
    <w:link w:val="BalloonTextChar"/>
    <w:uiPriority w:val="99"/>
    <w:semiHidden/>
    <w:unhideWhenUsed/>
    <w:rsid w:val="0068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E8D"/>
    <w:rPr>
      <w:rFonts w:ascii="Tahoma" w:hAnsi="Tahoma" w:cs="Tahoma"/>
      <w:sz w:val="16"/>
      <w:szCs w:val="16"/>
    </w:rPr>
  </w:style>
  <w:style w:type="character" w:styleId="CommentReference">
    <w:name w:val="annotation reference"/>
    <w:basedOn w:val="DefaultParagraphFont"/>
    <w:uiPriority w:val="99"/>
    <w:semiHidden/>
    <w:unhideWhenUsed/>
    <w:rsid w:val="0057704E"/>
    <w:rPr>
      <w:sz w:val="16"/>
      <w:szCs w:val="16"/>
    </w:rPr>
  </w:style>
  <w:style w:type="paragraph" w:styleId="CommentText">
    <w:name w:val="annotation text"/>
    <w:basedOn w:val="Normal"/>
    <w:link w:val="CommentTextChar"/>
    <w:uiPriority w:val="99"/>
    <w:semiHidden/>
    <w:unhideWhenUsed/>
    <w:rsid w:val="0057704E"/>
    <w:pPr>
      <w:spacing w:line="240" w:lineRule="auto"/>
    </w:pPr>
    <w:rPr>
      <w:sz w:val="20"/>
      <w:szCs w:val="20"/>
    </w:rPr>
  </w:style>
  <w:style w:type="character" w:customStyle="1" w:styleId="CommentTextChar">
    <w:name w:val="Comment Text Char"/>
    <w:basedOn w:val="DefaultParagraphFont"/>
    <w:link w:val="CommentText"/>
    <w:uiPriority w:val="99"/>
    <w:semiHidden/>
    <w:rsid w:val="0057704E"/>
    <w:rPr>
      <w:sz w:val="20"/>
      <w:szCs w:val="20"/>
    </w:rPr>
  </w:style>
  <w:style w:type="paragraph" w:styleId="CommentSubject">
    <w:name w:val="annotation subject"/>
    <w:basedOn w:val="CommentText"/>
    <w:next w:val="CommentText"/>
    <w:link w:val="CommentSubjectChar"/>
    <w:uiPriority w:val="99"/>
    <w:semiHidden/>
    <w:unhideWhenUsed/>
    <w:rsid w:val="0057704E"/>
    <w:rPr>
      <w:b/>
      <w:bCs/>
    </w:rPr>
  </w:style>
  <w:style w:type="character" w:customStyle="1" w:styleId="CommentSubjectChar">
    <w:name w:val="Comment Subject Char"/>
    <w:basedOn w:val="CommentTextChar"/>
    <w:link w:val="CommentSubject"/>
    <w:uiPriority w:val="99"/>
    <w:semiHidden/>
    <w:rsid w:val="0057704E"/>
    <w:rPr>
      <w:b/>
      <w:bCs/>
      <w:sz w:val="20"/>
      <w:szCs w:val="20"/>
    </w:rPr>
  </w:style>
  <w:style w:type="paragraph" w:styleId="FootnoteText">
    <w:name w:val="footnote text"/>
    <w:basedOn w:val="Normal"/>
    <w:link w:val="FootnoteTextChar"/>
    <w:uiPriority w:val="99"/>
    <w:semiHidden/>
    <w:unhideWhenUsed/>
    <w:rsid w:val="00D55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D75"/>
    <w:rPr>
      <w:sz w:val="20"/>
      <w:szCs w:val="20"/>
    </w:rPr>
  </w:style>
  <w:style w:type="character" w:styleId="FootnoteReference">
    <w:name w:val="footnote reference"/>
    <w:basedOn w:val="DefaultParagraphFont"/>
    <w:uiPriority w:val="99"/>
    <w:semiHidden/>
    <w:unhideWhenUsed/>
    <w:rsid w:val="00D55D75"/>
    <w:rPr>
      <w:vertAlign w:val="superscript"/>
    </w:rPr>
  </w:style>
  <w:style w:type="paragraph" w:styleId="Revision">
    <w:name w:val="Revision"/>
    <w:hidden/>
    <w:uiPriority w:val="99"/>
    <w:semiHidden/>
    <w:rsid w:val="00106C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16"/>
  </w:style>
  <w:style w:type="paragraph" w:styleId="Heading1">
    <w:name w:val="heading 1"/>
    <w:basedOn w:val="Normal"/>
    <w:next w:val="Normal"/>
    <w:link w:val="Heading1Char"/>
    <w:qFormat/>
    <w:rsid w:val="00C94F16"/>
    <w:pPr>
      <w:keepNext/>
      <w:numPr>
        <w:numId w:val="2"/>
      </w:numPr>
      <w:spacing w:before="240" w:after="60" w:line="240" w:lineRule="auto"/>
      <w:jc w:val="both"/>
      <w:outlineLvl w:val="0"/>
    </w:pPr>
    <w:rPr>
      <w:rFonts w:ascii="Arial" w:eastAsia="Times New Roman" w:hAnsi="Arial" w:cs="Times New Roman"/>
      <w:b/>
      <w:kern w:val="28"/>
      <w:sz w:val="24"/>
      <w:szCs w:val="20"/>
    </w:rPr>
  </w:style>
  <w:style w:type="paragraph" w:styleId="Heading2">
    <w:name w:val="heading 2"/>
    <w:basedOn w:val="Normal"/>
    <w:next w:val="Normal"/>
    <w:link w:val="Heading2Char"/>
    <w:uiPriority w:val="9"/>
    <w:semiHidden/>
    <w:unhideWhenUsed/>
    <w:qFormat/>
    <w:rsid w:val="00C9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F16"/>
    <w:rPr>
      <w:rFonts w:ascii="Arial" w:eastAsia="Times New Roman" w:hAnsi="Arial" w:cs="Times New Roman"/>
      <w:b/>
      <w:kern w:val="28"/>
      <w:sz w:val="24"/>
      <w:szCs w:val="20"/>
    </w:rPr>
  </w:style>
  <w:style w:type="character" w:customStyle="1" w:styleId="Heading2Char">
    <w:name w:val="Heading 2 Char"/>
    <w:basedOn w:val="DefaultParagraphFont"/>
    <w:link w:val="Heading2"/>
    <w:uiPriority w:val="9"/>
    <w:semiHidden/>
    <w:rsid w:val="00C94F16"/>
    <w:rPr>
      <w:rFonts w:asciiTheme="majorHAnsi" w:eastAsiaTheme="majorEastAsia" w:hAnsiTheme="majorHAnsi" w:cstheme="majorBidi"/>
      <w:b/>
      <w:bCs/>
      <w:color w:val="4F81BD" w:themeColor="accent1"/>
      <w:sz w:val="26"/>
      <w:szCs w:val="26"/>
    </w:rPr>
  </w:style>
  <w:style w:type="paragraph" w:customStyle="1" w:styleId="Legal1">
    <w:name w:val="Legal 1"/>
    <w:basedOn w:val="Normal"/>
    <w:link w:val="Legal1Char"/>
    <w:rsid w:val="00C94F16"/>
    <w:pPr>
      <w:keepLines/>
      <w:widowControl w:val="0"/>
      <w:numPr>
        <w:numId w:val="1"/>
      </w:numPr>
      <w:overflowPunct w:val="0"/>
      <w:autoSpaceDE w:val="0"/>
      <w:autoSpaceDN w:val="0"/>
      <w:adjustRightInd w:val="0"/>
      <w:spacing w:after="240" w:line="240" w:lineRule="auto"/>
      <w:textAlignment w:val="baseline"/>
    </w:pPr>
    <w:rPr>
      <w:rFonts w:ascii="Arial Bold" w:eastAsia="Times New Roman" w:hAnsi="Arial Bold" w:cs="Times New Roman"/>
      <w:b/>
    </w:rPr>
  </w:style>
  <w:style w:type="paragraph" w:customStyle="1" w:styleId="Legal2">
    <w:name w:val="Legal 2"/>
    <w:basedOn w:val="Normal"/>
    <w:rsid w:val="00C94F16"/>
    <w:pPr>
      <w:spacing w:after="240" w:line="240" w:lineRule="auto"/>
      <w:jc w:val="both"/>
      <w:outlineLvl w:val="1"/>
    </w:pPr>
    <w:rPr>
      <w:rFonts w:ascii="Arial" w:eastAsia="Times New Roman" w:hAnsi="Arial" w:cs="Times New Roman"/>
    </w:rPr>
  </w:style>
  <w:style w:type="paragraph" w:customStyle="1" w:styleId="Legal3">
    <w:name w:val="Legal 3"/>
    <w:basedOn w:val="Normal"/>
    <w:rsid w:val="00C94F16"/>
    <w:pPr>
      <w:numPr>
        <w:ilvl w:val="2"/>
        <w:numId w:val="1"/>
      </w:numPr>
      <w:spacing w:after="240" w:line="240" w:lineRule="auto"/>
      <w:jc w:val="both"/>
      <w:outlineLvl w:val="2"/>
    </w:pPr>
    <w:rPr>
      <w:rFonts w:ascii="Arial" w:eastAsia="Times New Roman" w:hAnsi="Arial" w:cs="Times New Roman"/>
      <w:bCs/>
    </w:rPr>
  </w:style>
  <w:style w:type="character" w:customStyle="1" w:styleId="Legal1Char">
    <w:name w:val="Legal 1 Char"/>
    <w:link w:val="Legal1"/>
    <w:rsid w:val="00C94F16"/>
    <w:rPr>
      <w:rFonts w:ascii="Arial Bold" w:eastAsia="Times New Roman" w:hAnsi="Arial Bold" w:cs="Times New Roman"/>
      <w:b/>
    </w:rPr>
  </w:style>
  <w:style w:type="character" w:styleId="Hyperlink">
    <w:name w:val="Hyperlink"/>
    <w:basedOn w:val="DefaultParagraphFont"/>
    <w:uiPriority w:val="99"/>
    <w:unhideWhenUsed/>
    <w:rsid w:val="00C94F16"/>
    <w:rPr>
      <w:color w:val="0000FF" w:themeColor="hyperlink"/>
      <w:u w:val="single"/>
    </w:rPr>
  </w:style>
  <w:style w:type="paragraph" w:styleId="Header">
    <w:name w:val="header"/>
    <w:basedOn w:val="Normal"/>
    <w:link w:val="HeaderChar"/>
    <w:uiPriority w:val="99"/>
    <w:unhideWhenUsed/>
    <w:rsid w:val="00C94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F16"/>
  </w:style>
  <w:style w:type="paragraph" w:styleId="Footer">
    <w:name w:val="footer"/>
    <w:basedOn w:val="Normal"/>
    <w:link w:val="FooterChar"/>
    <w:uiPriority w:val="99"/>
    <w:unhideWhenUsed/>
    <w:rsid w:val="00C94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F16"/>
  </w:style>
  <w:style w:type="paragraph" w:styleId="TOC1">
    <w:name w:val="toc 1"/>
    <w:basedOn w:val="Normal"/>
    <w:next w:val="Normal"/>
    <w:autoRedefine/>
    <w:uiPriority w:val="39"/>
    <w:unhideWhenUsed/>
    <w:rsid w:val="00C94F16"/>
    <w:pPr>
      <w:tabs>
        <w:tab w:val="left" w:pos="440"/>
        <w:tab w:val="right" w:leader="dot" w:pos="9072"/>
      </w:tabs>
      <w:spacing w:after="100"/>
    </w:pPr>
  </w:style>
  <w:style w:type="paragraph" w:styleId="BodyText">
    <w:name w:val="Body Text"/>
    <w:basedOn w:val="Normal"/>
    <w:link w:val="BodyTextChar"/>
    <w:rsid w:val="00C94F16"/>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C94F16"/>
    <w:rPr>
      <w:rFonts w:ascii="Arial" w:eastAsia="Times New Roman" w:hAnsi="Arial" w:cs="Times New Roman"/>
      <w:sz w:val="24"/>
      <w:szCs w:val="20"/>
    </w:rPr>
  </w:style>
  <w:style w:type="paragraph" w:customStyle="1" w:styleId="StyleHeading28pt">
    <w:name w:val="Style Heading 2 + 8 pt"/>
    <w:basedOn w:val="Heading2"/>
    <w:link w:val="StyleHeading28ptChar"/>
    <w:rsid w:val="00C94F16"/>
    <w:pPr>
      <w:keepLines w:val="0"/>
      <w:numPr>
        <w:ilvl w:val="1"/>
        <w:numId w:val="4"/>
      </w:numPr>
      <w:spacing w:before="240" w:after="60" w:line="240" w:lineRule="auto"/>
      <w:jc w:val="both"/>
    </w:pPr>
    <w:rPr>
      <w:rFonts w:ascii="Arial" w:eastAsia="Times New Roman" w:hAnsi="Arial" w:cs="Times New Roman"/>
      <w:b w:val="0"/>
      <w:bCs w:val="0"/>
      <w:color w:val="auto"/>
      <w:sz w:val="16"/>
      <w:szCs w:val="28"/>
    </w:rPr>
  </w:style>
  <w:style w:type="character" w:customStyle="1" w:styleId="StyleHeading28ptChar">
    <w:name w:val="Style Heading 2 + 8 pt Char"/>
    <w:link w:val="StyleHeading28pt"/>
    <w:rsid w:val="00C94F16"/>
    <w:rPr>
      <w:rFonts w:ascii="Arial" w:eastAsia="Times New Roman" w:hAnsi="Arial" w:cs="Times New Roman"/>
      <w:sz w:val="16"/>
      <w:szCs w:val="28"/>
    </w:rPr>
  </w:style>
  <w:style w:type="paragraph" w:customStyle="1" w:styleId="StyleBodyText8ptLeft05Before2ptAfter2pt">
    <w:name w:val="Style Body Text + 8 pt Left:  0.5&quot; Before:  2 pt After:  2 pt"/>
    <w:basedOn w:val="BodyText"/>
    <w:rsid w:val="00C94F16"/>
    <w:pPr>
      <w:spacing w:before="40" w:after="40"/>
      <w:ind w:left="720"/>
      <w:jc w:val="both"/>
    </w:pPr>
    <w:rPr>
      <w:sz w:val="16"/>
      <w:szCs w:val="16"/>
      <w:lang w:val="en-US"/>
    </w:rPr>
  </w:style>
  <w:style w:type="table" w:styleId="TableGrid">
    <w:name w:val="Table Grid"/>
    <w:basedOn w:val="TableNormal"/>
    <w:uiPriority w:val="59"/>
    <w:rsid w:val="00C94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mtextalignleft">
    <w:name w:val="immtextalign_left"/>
    <w:basedOn w:val="Normal"/>
    <w:rsid w:val="00C94F16"/>
    <w:pPr>
      <w:spacing w:before="100" w:beforeAutospacing="1" w:after="100" w:afterAutospacing="1" w:line="240" w:lineRule="auto"/>
      <w:jc w:val="both"/>
    </w:pPr>
    <w:rPr>
      <w:rFonts w:ascii="Arial" w:eastAsia="Calibri" w:hAnsi="Arial" w:cs="Times New Roman"/>
      <w:sz w:val="31"/>
      <w:szCs w:val="31"/>
      <w:lang w:eastAsia="en-GB"/>
    </w:rPr>
  </w:style>
  <w:style w:type="paragraph" w:styleId="ListParagraph">
    <w:name w:val="List Paragraph"/>
    <w:basedOn w:val="Normal"/>
    <w:uiPriority w:val="34"/>
    <w:qFormat/>
    <w:rsid w:val="00C94F16"/>
    <w:pPr>
      <w:spacing w:before="100" w:beforeAutospacing="1" w:after="100" w:afterAutospacing="1" w:line="240" w:lineRule="auto"/>
      <w:ind w:left="720"/>
      <w:contextualSpacing/>
    </w:pPr>
    <w:rPr>
      <w:rFonts w:ascii="Arial" w:eastAsia="Times New Roman" w:hAnsi="Arial" w:cs="Times New Roman"/>
      <w:szCs w:val="24"/>
      <w:lang w:eastAsia="en-GB"/>
    </w:rPr>
  </w:style>
  <w:style w:type="character" w:styleId="Strong">
    <w:name w:val="Strong"/>
    <w:basedOn w:val="DefaultParagraphFont"/>
    <w:uiPriority w:val="22"/>
    <w:qFormat/>
    <w:rsid w:val="00C94F16"/>
    <w:rPr>
      <w:b/>
      <w:bCs/>
    </w:rPr>
  </w:style>
  <w:style w:type="paragraph" w:styleId="BalloonText">
    <w:name w:val="Balloon Text"/>
    <w:basedOn w:val="Normal"/>
    <w:link w:val="BalloonTextChar"/>
    <w:uiPriority w:val="99"/>
    <w:semiHidden/>
    <w:unhideWhenUsed/>
    <w:rsid w:val="0068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E8D"/>
    <w:rPr>
      <w:rFonts w:ascii="Tahoma" w:hAnsi="Tahoma" w:cs="Tahoma"/>
      <w:sz w:val="16"/>
      <w:szCs w:val="16"/>
    </w:rPr>
  </w:style>
  <w:style w:type="character" w:styleId="CommentReference">
    <w:name w:val="annotation reference"/>
    <w:basedOn w:val="DefaultParagraphFont"/>
    <w:uiPriority w:val="99"/>
    <w:semiHidden/>
    <w:unhideWhenUsed/>
    <w:rsid w:val="0057704E"/>
    <w:rPr>
      <w:sz w:val="16"/>
      <w:szCs w:val="16"/>
    </w:rPr>
  </w:style>
  <w:style w:type="paragraph" w:styleId="CommentText">
    <w:name w:val="annotation text"/>
    <w:basedOn w:val="Normal"/>
    <w:link w:val="CommentTextChar"/>
    <w:uiPriority w:val="99"/>
    <w:semiHidden/>
    <w:unhideWhenUsed/>
    <w:rsid w:val="0057704E"/>
    <w:pPr>
      <w:spacing w:line="240" w:lineRule="auto"/>
    </w:pPr>
    <w:rPr>
      <w:sz w:val="20"/>
      <w:szCs w:val="20"/>
    </w:rPr>
  </w:style>
  <w:style w:type="character" w:customStyle="1" w:styleId="CommentTextChar">
    <w:name w:val="Comment Text Char"/>
    <w:basedOn w:val="DefaultParagraphFont"/>
    <w:link w:val="CommentText"/>
    <w:uiPriority w:val="99"/>
    <w:semiHidden/>
    <w:rsid w:val="0057704E"/>
    <w:rPr>
      <w:sz w:val="20"/>
      <w:szCs w:val="20"/>
    </w:rPr>
  </w:style>
  <w:style w:type="paragraph" w:styleId="CommentSubject">
    <w:name w:val="annotation subject"/>
    <w:basedOn w:val="CommentText"/>
    <w:next w:val="CommentText"/>
    <w:link w:val="CommentSubjectChar"/>
    <w:uiPriority w:val="99"/>
    <w:semiHidden/>
    <w:unhideWhenUsed/>
    <w:rsid w:val="0057704E"/>
    <w:rPr>
      <w:b/>
      <w:bCs/>
    </w:rPr>
  </w:style>
  <w:style w:type="character" w:customStyle="1" w:styleId="CommentSubjectChar">
    <w:name w:val="Comment Subject Char"/>
    <w:basedOn w:val="CommentTextChar"/>
    <w:link w:val="CommentSubject"/>
    <w:uiPriority w:val="99"/>
    <w:semiHidden/>
    <w:rsid w:val="0057704E"/>
    <w:rPr>
      <w:b/>
      <w:bCs/>
      <w:sz w:val="20"/>
      <w:szCs w:val="20"/>
    </w:rPr>
  </w:style>
  <w:style w:type="paragraph" w:styleId="FootnoteText">
    <w:name w:val="footnote text"/>
    <w:basedOn w:val="Normal"/>
    <w:link w:val="FootnoteTextChar"/>
    <w:uiPriority w:val="99"/>
    <w:semiHidden/>
    <w:unhideWhenUsed/>
    <w:rsid w:val="00D55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D75"/>
    <w:rPr>
      <w:sz w:val="20"/>
      <w:szCs w:val="20"/>
    </w:rPr>
  </w:style>
  <w:style w:type="character" w:styleId="FootnoteReference">
    <w:name w:val="footnote reference"/>
    <w:basedOn w:val="DefaultParagraphFont"/>
    <w:uiPriority w:val="99"/>
    <w:semiHidden/>
    <w:unhideWhenUsed/>
    <w:rsid w:val="00D55D75"/>
    <w:rPr>
      <w:vertAlign w:val="superscript"/>
    </w:rPr>
  </w:style>
  <w:style w:type="paragraph" w:styleId="Revision">
    <w:name w:val="Revision"/>
    <w:hidden/>
    <w:uiPriority w:val="99"/>
    <w:semiHidden/>
    <w:rsid w:val="00106C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ogle.co.uk/imgres?imgurl=http://www.insidehousing.co.uk/Pictures//thumb/n/c/x/12062009094350WESSEX3.JPG&amp;imgrefurl=http://www.insidehousing.co.uk/jobs/jobdetails.aspx?ac=433103&amp;usg=__y8L_jRbTVz4xl19jil0fheTsN28=&amp;h=46&amp;w=200&amp;sz=13&amp;hl=en&amp;start=5&amp;zoom=1&amp;tbnid=l4QltA3xeujEKM:&amp;tbnh=24&amp;tbnw=104&amp;ei=fF0MTtvwFMaZ8QOZ8rG9Dg&amp;prev=/search?q=first+wessex+housing+group&amp;um=1&amp;hl=en&amp;sa=N&amp;rlz=1R2ADRA_enGB437&amp;biw=1366&amp;bih=587&amp;tbm=isch&amp;um=1&amp;itbs=1" TargetMode="External"/><Relationship Id="rId18" Type="http://schemas.openxmlformats.org/officeDocument/2006/relationships/chart" Target="charts/chart4.xml"/><Relationship Id="rId26" Type="http://schemas.openxmlformats.org/officeDocument/2006/relationships/chart" Target="charts/chart8.xml"/><Relationship Id="rId39" Type="http://schemas.openxmlformats.org/officeDocument/2006/relationships/image" Target="media/image5.emf"/><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5.xml"/><Relationship Id="rId42" Type="http://schemas.openxmlformats.org/officeDocument/2006/relationships/chart" Target="charts/chart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5.xml"/><Relationship Id="rId33" Type="http://schemas.openxmlformats.org/officeDocument/2006/relationships/chart" Target="charts/chart14.xml"/><Relationship Id="rId38"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image" Target="media/image4.emf"/><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0.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28" Type="http://schemas.openxmlformats.org/officeDocument/2006/relationships/chart" Target="charts/chart10.xml"/><Relationship Id="rId36" Type="http://schemas.openxmlformats.org/officeDocument/2006/relationships/chart" Target="charts/chart17.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chart" Target="charts/chart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7.xml"/><Relationship Id="rId27" Type="http://schemas.openxmlformats.org/officeDocument/2006/relationships/chart" Target="charts/chart9.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mmunities.gov.uk/housing/housingresearch/housingstatistics/housingstatisticsby/rentslettings/livetab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Additional%20research%20and%20analysi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Additional%20research%20and%20analys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Additional%20research%20and%20analy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IOS%20survey%20analysis%20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altairsvr-01\users\shared\Clients\Local%20Authorities\Council%20of%20the%20Isles%20of%20Scilly\Housing%20Needs%20survey\Survey\Survey%20results\Additional%20research%20an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spPr>
            <a:solidFill>
              <a:schemeClr val="accent6">
                <a:lumMod val="50000"/>
              </a:schemeClr>
            </a:solidFill>
          </c:spPr>
          <c:dLbls>
            <c:txPr>
              <a:bodyPr/>
              <a:lstStyle/>
              <a:p>
                <a:pPr>
                  <a:defRPr sz="900"/>
                </a:pPr>
                <a:endParaRPr lang="en-US"/>
              </a:p>
            </c:txPr>
            <c:showVal val="1"/>
          </c:dLbls>
          <c:cat>
            <c:strRef>
              <c:f>Sheet1!$E$18:$K$18</c:f>
              <c:strCache>
                <c:ptCount val="7"/>
                <c:pt idx="0">
                  <c:v>0 to 5</c:v>
                </c:pt>
                <c:pt idx="1">
                  <c:v>6 to 16</c:v>
                </c:pt>
                <c:pt idx="2">
                  <c:v>16 to 21</c:v>
                </c:pt>
                <c:pt idx="3">
                  <c:v>22 to 29</c:v>
                </c:pt>
                <c:pt idx="4">
                  <c:v>30 to 59</c:v>
                </c:pt>
                <c:pt idx="5">
                  <c:v>60 to 74</c:v>
                </c:pt>
                <c:pt idx="6">
                  <c:v>75 and over</c:v>
                </c:pt>
              </c:strCache>
            </c:strRef>
          </c:cat>
          <c:val>
            <c:numRef>
              <c:f>Sheet1!$E$20:$K$20</c:f>
              <c:numCache>
                <c:formatCode>0.0%</c:formatCode>
                <c:ptCount val="7"/>
                <c:pt idx="0">
                  <c:v>4.5454545454545484E-2</c:v>
                </c:pt>
                <c:pt idx="1">
                  <c:v>9.0909090909091092E-2</c:v>
                </c:pt>
                <c:pt idx="2">
                  <c:v>4.5454545454545484E-2</c:v>
                </c:pt>
                <c:pt idx="3">
                  <c:v>9.0909090909091092E-2</c:v>
                </c:pt>
                <c:pt idx="4">
                  <c:v>0.40909090909090956</c:v>
                </c:pt>
                <c:pt idx="5">
                  <c:v>0.22727272727272727</c:v>
                </c:pt>
                <c:pt idx="6">
                  <c:v>9.0909090909091092E-2</c:v>
                </c:pt>
              </c:numCache>
            </c:numRef>
          </c:val>
        </c:ser>
        <c:axId val="198564096"/>
        <c:axId val="215237376"/>
      </c:barChart>
      <c:catAx>
        <c:axId val="198564096"/>
        <c:scaling>
          <c:orientation val="minMax"/>
        </c:scaling>
        <c:axPos val="b"/>
        <c:title>
          <c:tx>
            <c:rich>
              <a:bodyPr/>
              <a:lstStyle/>
              <a:p>
                <a:pPr>
                  <a:defRPr/>
                </a:pPr>
                <a:r>
                  <a:rPr lang="en-US"/>
                  <a:t>%age of population by age group</a:t>
                </a:r>
              </a:p>
            </c:rich>
          </c:tx>
        </c:title>
        <c:tickLblPos val="nextTo"/>
        <c:txPr>
          <a:bodyPr/>
          <a:lstStyle/>
          <a:p>
            <a:pPr>
              <a:defRPr sz="800"/>
            </a:pPr>
            <a:endParaRPr lang="en-US"/>
          </a:p>
        </c:txPr>
        <c:crossAx val="215237376"/>
        <c:crosses val="autoZero"/>
        <c:auto val="1"/>
        <c:lblAlgn val="ctr"/>
        <c:lblOffset val="100"/>
      </c:catAx>
      <c:valAx>
        <c:axId val="215237376"/>
        <c:scaling>
          <c:orientation val="minMax"/>
        </c:scaling>
        <c:axPos val="l"/>
        <c:majorGridlines/>
        <c:numFmt formatCode="0.0%" sourceLinked="1"/>
        <c:tickLblPos val="nextTo"/>
        <c:txPr>
          <a:bodyPr/>
          <a:lstStyle/>
          <a:p>
            <a:pPr>
              <a:defRPr sz="800"/>
            </a:pPr>
            <a:endParaRPr lang="en-US"/>
          </a:p>
        </c:txPr>
        <c:crossAx val="198564096"/>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percentStacked"/>
        <c:ser>
          <c:idx val="0"/>
          <c:order val="0"/>
          <c:tx>
            <c:strRef>
              <c:f>Sheet1!$Z$8</c:f>
              <c:strCache>
                <c:ptCount val="1"/>
                <c:pt idx="0">
                  <c:v>Yes</c:v>
                </c:pt>
              </c:strCache>
            </c:strRef>
          </c:tx>
          <c:spPr>
            <a:solidFill>
              <a:schemeClr val="accent4">
                <a:lumMod val="50000"/>
              </a:schemeClr>
            </a:solidFill>
          </c:spPr>
          <c:dLbls>
            <c:txPr>
              <a:bodyPr/>
              <a:lstStyle/>
              <a:p>
                <a:pPr>
                  <a:defRPr sz="800">
                    <a:solidFill>
                      <a:schemeClr val="bg1"/>
                    </a:solidFill>
                  </a:defRPr>
                </a:pPr>
                <a:endParaRPr lang="en-US"/>
              </a:p>
            </c:txPr>
            <c:showVal val="1"/>
          </c:dLbls>
          <c:cat>
            <c:strRef>
              <c:f>Sheet1!$V$18:$V$25</c:f>
              <c:strCache>
                <c:ptCount val="8"/>
                <c:pt idx="0">
                  <c:v>Rented - HA</c:v>
                </c:pt>
                <c:pt idx="1">
                  <c:v>Rented - Council</c:v>
                </c:pt>
                <c:pt idx="2">
                  <c:v>Rented - Duchy</c:v>
                </c:pt>
                <c:pt idx="3">
                  <c:v>Private landlord</c:v>
                </c:pt>
                <c:pt idx="4">
                  <c:v>Duchy Leasehold</c:v>
                </c:pt>
                <c:pt idx="5">
                  <c:v>Business</c:v>
                </c:pt>
                <c:pt idx="6">
                  <c:v>Owned outright</c:v>
                </c:pt>
                <c:pt idx="7">
                  <c:v>Parents</c:v>
                </c:pt>
              </c:strCache>
            </c:strRef>
          </c:cat>
          <c:val>
            <c:numRef>
              <c:f>Sheet1!$Z$18:$Z$25</c:f>
              <c:numCache>
                <c:formatCode>0.0%</c:formatCode>
                <c:ptCount val="8"/>
                <c:pt idx="0">
                  <c:v>0.42857142857142855</c:v>
                </c:pt>
                <c:pt idx="1">
                  <c:v>0.66666666666666663</c:v>
                </c:pt>
                <c:pt idx="2">
                  <c:v>0.70000000000000062</c:v>
                </c:pt>
                <c:pt idx="3">
                  <c:v>0.5</c:v>
                </c:pt>
                <c:pt idx="4">
                  <c:v>0.5</c:v>
                </c:pt>
                <c:pt idx="5">
                  <c:v>0</c:v>
                </c:pt>
                <c:pt idx="6">
                  <c:v>1</c:v>
                </c:pt>
                <c:pt idx="7">
                  <c:v>0.28571428571428625</c:v>
                </c:pt>
              </c:numCache>
            </c:numRef>
          </c:val>
        </c:ser>
        <c:ser>
          <c:idx val="1"/>
          <c:order val="1"/>
          <c:tx>
            <c:strRef>
              <c:f>Sheet1!$AA$8</c:f>
              <c:strCache>
                <c:ptCount val="1"/>
                <c:pt idx="0">
                  <c:v>No</c:v>
                </c:pt>
              </c:strCache>
            </c:strRef>
          </c:tx>
          <c:dLbls>
            <c:txPr>
              <a:bodyPr/>
              <a:lstStyle/>
              <a:p>
                <a:pPr>
                  <a:defRPr sz="900"/>
                </a:pPr>
                <a:endParaRPr lang="en-US"/>
              </a:p>
            </c:txPr>
            <c:showVal val="1"/>
          </c:dLbls>
          <c:cat>
            <c:strRef>
              <c:f>Sheet1!$V$18:$V$25</c:f>
              <c:strCache>
                <c:ptCount val="8"/>
                <c:pt idx="0">
                  <c:v>Rented - HA</c:v>
                </c:pt>
                <c:pt idx="1">
                  <c:v>Rented - Council</c:v>
                </c:pt>
                <c:pt idx="2">
                  <c:v>Rented - Duchy</c:v>
                </c:pt>
                <c:pt idx="3">
                  <c:v>Private landlord</c:v>
                </c:pt>
                <c:pt idx="4">
                  <c:v>Duchy Leasehold</c:v>
                </c:pt>
                <c:pt idx="5">
                  <c:v>Business</c:v>
                </c:pt>
                <c:pt idx="6">
                  <c:v>Owned outright</c:v>
                </c:pt>
                <c:pt idx="7">
                  <c:v>Parents</c:v>
                </c:pt>
              </c:strCache>
            </c:strRef>
          </c:cat>
          <c:val>
            <c:numRef>
              <c:f>Sheet1!$AA$18:$AA$25</c:f>
              <c:numCache>
                <c:formatCode>0.0%</c:formatCode>
                <c:ptCount val="8"/>
                <c:pt idx="0">
                  <c:v>0.57142857142857251</c:v>
                </c:pt>
                <c:pt idx="1">
                  <c:v>0.33333333333333331</c:v>
                </c:pt>
                <c:pt idx="2">
                  <c:v>0.30000000000000032</c:v>
                </c:pt>
                <c:pt idx="3">
                  <c:v>0.5</c:v>
                </c:pt>
                <c:pt idx="4">
                  <c:v>0.5</c:v>
                </c:pt>
                <c:pt idx="5">
                  <c:v>0</c:v>
                </c:pt>
                <c:pt idx="6">
                  <c:v>0</c:v>
                </c:pt>
                <c:pt idx="7">
                  <c:v>0.71428571428571463</c:v>
                </c:pt>
              </c:numCache>
            </c:numRef>
          </c:val>
        </c:ser>
        <c:gapWidth val="75"/>
        <c:overlap val="100"/>
        <c:axId val="206135680"/>
        <c:axId val="206137216"/>
      </c:barChart>
      <c:catAx>
        <c:axId val="206135680"/>
        <c:scaling>
          <c:orientation val="minMax"/>
        </c:scaling>
        <c:axPos val="b"/>
        <c:tickLblPos val="nextTo"/>
        <c:txPr>
          <a:bodyPr/>
          <a:lstStyle/>
          <a:p>
            <a:pPr>
              <a:defRPr sz="800"/>
            </a:pPr>
            <a:endParaRPr lang="en-US"/>
          </a:p>
        </c:txPr>
        <c:crossAx val="206137216"/>
        <c:crosses val="autoZero"/>
        <c:auto val="1"/>
        <c:lblAlgn val="ctr"/>
        <c:lblOffset val="100"/>
      </c:catAx>
      <c:valAx>
        <c:axId val="206137216"/>
        <c:scaling>
          <c:orientation val="minMax"/>
        </c:scaling>
        <c:axPos val="l"/>
        <c:majorGridlines/>
        <c:numFmt formatCode="0%" sourceLinked="1"/>
        <c:tickLblPos val="nextTo"/>
        <c:crossAx val="206135680"/>
        <c:crosses val="autoZero"/>
        <c:crossBetween val="between"/>
      </c:valAx>
    </c:plotArea>
    <c:legend>
      <c:legendPos val="b"/>
      <c:layout>
        <c:manualLayout>
          <c:xMode val="edge"/>
          <c:yMode val="edge"/>
          <c:x val="5.4234689413823416E-2"/>
          <c:y val="0.88850503062117336"/>
          <c:w val="0.89986373578302659"/>
          <c:h val="8.3717191601049998E-2"/>
        </c:manualLayout>
      </c:layout>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spPr>
            <a:solidFill>
              <a:schemeClr val="accent4">
                <a:lumMod val="50000"/>
              </a:schemeClr>
            </a:solidFill>
          </c:spPr>
          <c:dLbls>
            <c:showVal val="1"/>
          </c:dLbls>
          <c:cat>
            <c:strRef>
              <c:f>'4 HN - Satisfaction'!$R$86:$Y$86</c:f>
              <c:strCache>
                <c:ptCount val="8"/>
                <c:pt idx="0">
                  <c:v>Privately rent</c:v>
                </c:pt>
                <c:pt idx="1">
                  <c:v>Rent from HA</c:v>
                </c:pt>
                <c:pt idx="2">
                  <c:v>Rent from the Council</c:v>
                </c:pt>
                <c:pt idx="3">
                  <c:v>Rent from the Duchy</c:v>
                </c:pt>
                <c:pt idx="4">
                  <c:v>Buy</c:v>
                </c:pt>
                <c:pt idx="5">
                  <c:v>Build on a freehold plot</c:v>
                </c:pt>
                <c:pt idx="6">
                  <c:v>Build on a leasehold plot</c:v>
                </c:pt>
                <c:pt idx="7">
                  <c:v>Other</c:v>
                </c:pt>
              </c:strCache>
            </c:strRef>
          </c:cat>
          <c:val>
            <c:numRef>
              <c:f>'4 HN - Satisfaction'!$R$88:$Y$88</c:f>
              <c:numCache>
                <c:formatCode>0.0%</c:formatCode>
                <c:ptCount val="8"/>
                <c:pt idx="0">
                  <c:v>0.17045454545454539</c:v>
                </c:pt>
                <c:pt idx="1">
                  <c:v>0.19318181818181818</c:v>
                </c:pt>
                <c:pt idx="2">
                  <c:v>0.21590909090909124</c:v>
                </c:pt>
                <c:pt idx="3">
                  <c:v>0.21590909090909124</c:v>
                </c:pt>
                <c:pt idx="4">
                  <c:v>9.0909090909091064E-2</c:v>
                </c:pt>
                <c:pt idx="5">
                  <c:v>6.8181818181818177E-2</c:v>
                </c:pt>
                <c:pt idx="6">
                  <c:v>3.4090909090909088E-2</c:v>
                </c:pt>
                <c:pt idx="7">
                  <c:v>1.1363636363636367E-2</c:v>
                </c:pt>
              </c:numCache>
            </c:numRef>
          </c:val>
        </c:ser>
        <c:axId val="210508416"/>
        <c:axId val="210514688"/>
      </c:barChart>
      <c:catAx>
        <c:axId val="210508416"/>
        <c:scaling>
          <c:orientation val="minMax"/>
        </c:scaling>
        <c:axPos val="b"/>
        <c:title>
          <c:tx>
            <c:rich>
              <a:bodyPr/>
              <a:lstStyle/>
              <a:p>
                <a:pPr>
                  <a:defRPr sz="900"/>
                </a:pPr>
                <a:r>
                  <a:rPr lang="en-US" sz="900"/>
                  <a:t>If you are looking for new accommodation - do you wish to:</a:t>
                </a:r>
              </a:p>
            </c:rich>
          </c:tx>
        </c:title>
        <c:tickLblPos val="nextTo"/>
        <c:txPr>
          <a:bodyPr/>
          <a:lstStyle/>
          <a:p>
            <a:pPr>
              <a:defRPr sz="900"/>
            </a:pPr>
            <a:endParaRPr lang="en-US"/>
          </a:p>
        </c:txPr>
        <c:crossAx val="210514688"/>
        <c:crosses val="autoZero"/>
        <c:auto val="1"/>
        <c:lblAlgn val="ctr"/>
        <c:lblOffset val="100"/>
      </c:catAx>
      <c:valAx>
        <c:axId val="210514688"/>
        <c:scaling>
          <c:orientation val="minMax"/>
        </c:scaling>
        <c:axPos val="l"/>
        <c:majorGridlines/>
        <c:numFmt formatCode="0.0%" sourceLinked="1"/>
        <c:tickLblPos val="nextTo"/>
        <c:txPr>
          <a:bodyPr/>
          <a:lstStyle/>
          <a:p>
            <a:pPr>
              <a:defRPr sz="900"/>
            </a:pPr>
            <a:endParaRPr lang="en-US"/>
          </a:p>
        </c:txPr>
        <c:crossAx val="210508416"/>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000"/>
            </a:pPr>
            <a:r>
              <a:rPr lang="en-US" sz="1000"/>
              <a:t>Which part of St Mary's would you like to live?</a:t>
            </a:r>
          </a:p>
        </c:rich>
      </c:tx>
    </c:title>
    <c:plotArea>
      <c:layout/>
      <c:pieChart>
        <c:varyColors val="1"/>
        <c:ser>
          <c:idx val="0"/>
          <c:order val="0"/>
          <c:explosion val="25"/>
          <c:dLbls>
            <c:dLbl>
              <c:idx val="0"/>
              <c:layout>
                <c:manualLayout>
                  <c:x val="7.1692038495188098E-2"/>
                  <c:y val="0.10125947798191909"/>
                </c:manualLayout>
              </c:layout>
              <c:showVal val="1"/>
              <c:showCatName val="1"/>
            </c:dLbl>
            <c:dLbl>
              <c:idx val="1"/>
              <c:layout>
                <c:manualLayout>
                  <c:x val="6.4389982502187221E-2"/>
                  <c:y val="-8.4179425488480786E-2"/>
                </c:manualLayout>
              </c:layout>
              <c:showVal val="1"/>
              <c:showCatName val="1"/>
            </c:dLbl>
            <c:dLbl>
              <c:idx val="2"/>
              <c:layout>
                <c:manualLayout>
                  <c:x val="-8.0290901137357776E-2"/>
                  <c:y val="-6.9329250510352866E-2"/>
                </c:manualLayout>
              </c:layout>
              <c:showVal val="1"/>
              <c:showCatName val="1"/>
            </c:dLbl>
            <c:dLbl>
              <c:idx val="3"/>
              <c:layout>
                <c:manualLayout>
                  <c:x val="-5.1380249343832021E-2"/>
                  <c:y val="6.164588801399825E-2"/>
                </c:manualLayout>
              </c:layout>
              <c:showVal val="1"/>
              <c:showCatName val="1"/>
            </c:dLbl>
            <c:showVal val="1"/>
            <c:showCatName val="1"/>
            <c:showLeaderLines val="1"/>
          </c:dLbls>
          <c:cat>
            <c:strRef>
              <c:f>'4 HN - Satisfaction'!$AI$86:$AL$86</c:f>
              <c:strCache>
                <c:ptCount val="4"/>
                <c:pt idx="0">
                  <c:v>Hugh Town</c:v>
                </c:pt>
                <c:pt idx="1">
                  <c:v>Old Town</c:v>
                </c:pt>
                <c:pt idx="2">
                  <c:v>Telegraph/McFarlands Down</c:v>
                </c:pt>
                <c:pt idx="3">
                  <c:v>Other (please specify)</c:v>
                </c:pt>
              </c:strCache>
            </c:strRef>
          </c:cat>
          <c:val>
            <c:numRef>
              <c:f>'4 HN - Satisfaction'!$AI$88:$AL$88</c:f>
              <c:numCache>
                <c:formatCode>0.0%</c:formatCode>
                <c:ptCount val="4"/>
                <c:pt idx="0">
                  <c:v>0.27777777777777823</c:v>
                </c:pt>
                <c:pt idx="1">
                  <c:v>0.19444444444444486</c:v>
                </c:pt>
                <c:pt idx="2">
                  <c:v>0.16666666666666666</c:v>
                </c:pt>
                <c:pt idx="3">
                  <c:v>0.3611111111111111</c:v>
                </c:pt>
              </c:numCache>
            </c:numRef>
          </c:val>
        </c:ser>
        <c:firstSliceAng val="0"/>
      </c:pieChart>
    </c:plotArea>
    <c:plotVisOnly val="1"/>
    <c:dispBlanksAs val="zero"/>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spPr>
            <a:solidFill>
              <a:schemeClr val="accent4">
                <a:lumMod val="50000"/>
              </a:schemeClr>
            </a:solidFill>
          </c:spPr>
          <c:dLbls>
            <c:txPr>
              <a:bodyPr/>
              <a:lstStyle/>
              <a:p>
                <a:pPr>
                  <a:defRPr sz="900"/>
                </a:pPr>
                <a:endParaRPr lang="en-US"/>
              </a:p>
            </c:txPr>
            <c:showVal val="1"/>
          </c:dLbls>
          <c:cat>
            <c:strRef>
              <c:f>'4 HN - Satisfaction'!$AM$86:$AS$86</c:f>
              <c:strCache>
                <c:ptCount val="7"/>
                <c:pt idx="0">
                  <c:v>House</c:v>
                </c:pt>
                <c:pt idx="1">
                  <c:v>For disabled</c:v>
                </c:pt>
                <c:pt idx="2">
                  <c:v>Flat/maisonette</c:v>
                </c:pt>
                <c:pt idx="3">
                  <c:v>For older persons</c:v>
                </c:pt>
                <c:pt idx="4">
                  <c:v>Bungalow</c:v>
                </c:pt>
                <c:pt idx="5">
                  <c:v>Don't mind</c:v>
                </c:pt>
                <c:pt idx="6">
                  <c:v>Other</c:v>
                </c:pt>
              </c:strCache>
            </c:strRef>
          </c:cat>
          <c:val>
            <c:numRef>
              <c:f>'4 HN - Satisfaction'!$AM$88:$AS$88</c:f>
              <c:numCache>
                <c:formatCode>0.0%</c:formatCode>
                <c:ptCount val="7"/>
                <c:pt idx="0">
                  <c:v>0.40909090909090956</c:v>
                </c:pt>
                <c:pt idx="1">
                  <c:v>0</c:v>
                </c:pt>
                <c:pt idx="2">
                  <c:v>6.8181818181818177E-2</c:v>
                </c:pt>
                <c:pt idx="3">
                  <c:v>0</c:v>
                </c:pt>
                <c:pt idx="4">
                  <c:v>6.8181818181818177E-2</c:v>
                </c:pt>
                <c:pt idx="5">
                  <c:v>0.31818181818181862</c:v>
                </c:pt>
                <c:pt idx="6">
                  <c:v>0.13636363636363635</c:v>
                </c:pt>
              </c:numCache>
            </c:numRef>
          </c:val>
        </c:ser>
        <c:axId val="210565376"/>
        <c:axId val="210911232"/>
      </c:barChart>
      <c:catAx>
        <c:axId val="210565376"/>
        <c:scaling>
          <c:orientation val="minMax"/>
        </c:scaling>
        <c:axPos val="b"/>
        <c:tickLblPos val="nextTo"/>
        <c:crossAx val="210911232"/>
        <c:crosses val="autoZero"/>
        <c:auto val="1"/>
        <c:lblAlgn val="ctr"/>
        <c:lblOffset val="100"/>
      </c:catAx>
      <c:valAx>
        <c:axId val="210911232"/>
        <c:scaling>
          <c:orientation val="minMax"/>
        </c:scaling>
        <c:axPos val="l"/>
        <c:majorGridlines/>
        <c:numFmt formatCode="0.0%" sourceLinked="1"/>
        <c:tickLblPos val="nextTo"/>
        <c:txPr>
          <a:bodyPr/>
          <a:lstStyle/>
          <a:p>
            <a:pPr>
              <a:defRPr sz="900"/>
            </a:pPr>
            <a:endParaRPr lang="en-US"/>
          </a:p>
        </c:txPr>
        <c:crossAx val="210565376"/>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spPr>
            <a:solidFill>
              <a:schemeClr val="accent4">
                <a:lumMod val="50000"/>
              </a:schemeClr>
            </a:solidFill>
          </c:spPr>
          <c:dLbls>
            <c:showVal val="1"/>
          </c:dLbls>
          <c:cat>
            <c:strRef>
              <c:f>'4 HN - Satisfaction'!$AT$86:$AX$86</c:f>
              <c:strCache>
                <c:ptCount val="5"/>
                <c:pt idx="0">
                  <c:v>1</c:v>
                </c:pt>
                <c:pt idx="1">
                  <c:v>2</c:v>
                </c:pt>
                <c:pt idx="2">
                  <c:v>3</c:v>
                </c:pt>
                <c:pt idx="3">
                  <c:v>4</c:v>
                </c:pt>
                <c:pt idx="4">
                  <c:v>5 or more</c:v>
                </c:pt>
              </c:strCache>
            </c:strRef>
          </c:cat>
          <c:val>
            <c:numRef>
              <c:f>'4 HN - Satisfaction'!$AT$88:$AX$88</c:f>
              <c:numCache>
                <c:formatCode>0.0%</c:formatCode>
                <c:ptCount val="5"/>
                <c:pt idx="0">
                  <c:v>0.13636363636363635</c:v>
                </c:pt>
                <c:pt idx="1">
                  <c:v>0.56818181818181912</c:v>
                </c:pt>
                <c:pt idx="2">
                  <c:v>0.20454545454545497</c:v>
                </c:pt>
                <c:pt idx="3">
                  <c:v>9.0909090909091064E-2</c:v>
                </c:pt>
                <c:pt idx="4">
                  <c:v>0</c:v>
                </c:pt>
              </c:numCache>
            </c:numRef>
          </c:val>
        </c:ser>
        <c:axId val="210922496"/>
        <c:axId val="210932864"/>
      </c:barChart>
      <c:catAx>
        <c:axId val="210922496"/>
        <c:scaling>
          <c:orientation val="minMax"/>
        </c:scaling>
        <c:axPos val="b"/>
        <c:title>
          <c:tx>
            <c:rich>
              <a:bodyPr/>
              <a:lstStyle/>
              <a:p>
                <a:pPr>
                  <a:defRPr/>
                </a:pPr>
                <a:r>
                  <a:rPr lang="en-US"/>
                  <a:t>Required number of bedrooms</a:t>
                </a:r>
              </a:p>
            </c:rich>
          </c:tx>
        </c:title>
        <c:tickLblPos val="nextTo"/>
        <c:crossAx val="210932864"/>
        <c:crosses val="autoZero"/>
        <c:auto val="1"/>
        <c:lblAlgn val="ctr"/>
        <c:lblOffset val="100"/>
      </c:catAx>
      <c:valAx>
        <c:axId val="210932864"/>
        <c:scaling>
          <c:orientation val="minMax"/>
        </c:scaling>
        <c:axPos val="l"/>
        <c:majorGridlines/>
        <c:numFmt formatCode="0.0%" sourceLinked="1"/>
        <c:tickLblPos val="nextTo"/>
        <c:crossAx val="210922496"/>
        <c:crosses val="autoZero"/>
        <c:crossBetween val="between"/>
      </c:valAx>
    </c:plotArea>
    <c:plotVisOnly val="1"/>
    <c:dispBlanksAs val="gap"/>
  </c:chart>
  <c:spPr>
    <a:ln>
      <a:solidFill>
        <a:schemeClr val="accent4">
          <a:lumMod val="50000"/>
        </a:schemeClr>
      </a:solidFill>
    </a:ln>
  </c:spPr>
  <c:txPr>
    <a:bodyPr/>
    <a:lstStyle/>
    <a:p>
      <a:pPr>
        <a:defRPr sz="900">
          <a:latin typeface="Arial" pitchFamily="34" charset="0"/>
          <a:cs typeface="Arial" pitchFamily="34"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plotArea>
      <c:layout/>
      <c:barChart>
        <c:barDir val="bar"/>
        <c:grouping val="percentStacked"/>
        <c:ser>
          <c:idx val="0"/>
          <c:order val="0"/>
          <c:tx>
            <c:strRef>
              <c:f>Sheet4!$Z$9</c:f>
              <c:strCache>
                <c:ptCount val="1"/>
                <c:pt idx="0">
                  <c:v>1 bed</c:v>
                </c:pt>
              </c:strCache>
            </c:strRef>
          </c:tx>
          <c:dLbls>
            <c:dLbl>
              <c:idx val="1"/>
              <c:delete val="1"/>
            </c:dLbl>
            <c:dLbl>
              <c:idx val="2"/>
              <c:delete val="1"/>
            </c:dLbl>
            <c:dLbl>
              <c:idx val="3"/>
              <c:delete val="1"/>
            </c:dLbl>
            <c:dLbl>
              <c:idx val="4"/>
              <c:delete val="1"/>
            </c:dLbl>
            <c:dLbl>
              <c:idx val="5"/>
              <c:delete val="1"/>
            </c:dLbl>
            <c:dLbl>
              <c:idx val="6"/>
              <c:delete val="1"/>
            </c:dLbl>
            <c:showVal val="1"/>
          </c:dLbls>
          <c:cat>
            <c:strRef>
              <c:f>Sheet4!$Y$10:$Y$16</c:f>
              <c:strCache>
                <c:ptCount val="7"/>
                <c:pt idx="0">
                  <c:v>St Mary's</c:v>
                </c:pt>
                <c:pt idx="1">
                  <c:v>Tresco</c:v>
                </c:pt>
                <c:pt idx="2">
                  <c:v>St Agnes</c:v>
                </c:pt>
                <c:pt idx="3">
                  <c:v>St Martin's</c:v>
                </c:pt>
                <c:pt idx="4">
                  <c:v>Bryher</c:v>
                </c:pt>
                <c:pt idx="5">
                  <c:v>Any island</c:v>
                </c:pt>
                <c:pt idx="6">
                  <c:v>Mainland</c:v>
                </c:pt>
              </c:strCache>
            </c:strRef>
          </c:cat>
          <c:val>
            <c:numRef>
              <c:f>Sheet4!$Z$10:$Z$16</c:f>
              <c:numCache>
                <c:formatCode>0.0%</c:formatCode>
                <c:ptCount val="7"/>
                <c:pt idx="0">
                  <c:v>9.0909090909091064E-2</c:v>
                </c:pt>
                <c:pt idx="1">
                  <c:v>0</c:v>
                </c:pt>
                <c:pt idx="2">
                  <c:v>0</c:v>
                </c:pt>
                <c:pt idx="3">
                  <c:v>0</c:v>
                </c:pt>
                <c:pt idx="4">
                  <c:v>0</c:v>
                </c:pt>
                <c:pt idx="5">
                  <c:v>0</c:v>
                </c:pt>
                <c:pt idx="6">
                  <c:v>0</c:v>
                </c:pt>
              </c:numCache>
            </c:numRef>
          </c:val>
        </c:ser>
        <c:ser>
          <c:idx val="1"/>
          <c:order val="1"/>
          <c:tx>
            <c:strRef>
              <c:f>Sheet4!$AA$9</c:f>
              <c:strCache>
                <c:ptCount val="1"/>
                <c:pt idx="0">
                  <c:v>2 bed</c:v>
                </c:pt>
              </c:strCache>
            </c:strRef>
          </c:tx>
          <c:dLbls>
            <c:dLbl>
              <c:idx val="1"/>
              <c:delete val="1"/>
            </c:dLbl>
            <c:dLbl>
              <c:idx val="5"/>
              <c:delete val="1"/>
            </c:dLbl>
            <c:dLbl>
              <c:idx val="6"/>
              <c:delete val="1"/>
            </c:dLbl>
            <c:showVal val="1"/>
          </c:dLbls>
          <c:cat>
            <c:strRef>
              <c:f>Sheet4!$Y$10:$Y$16</c:f>
              <c:strCache>
                <c:ptCount val="7"/>
                <c:pt idx="0">
                  <c:v>St Mary's</c:v>
                </c:pt>
                <c:pt idx="1">
                  <c:v>Tresco</c:v>
                </c:pt>
                <c:pt idx="2">
                  <c:v>St Agnes</c:v>
                </c:pt>
                <c:pt idx="3">
                  <c:v>St Martin's</c:v>
                </c:pt>
                <c:pt idx="4">
                  <c:v>Bryher</c:v>
                </c:pt>
                <c:pt idx="5">
                  <c:v>Any island</c:v>
                </c:pt>
                <c:pt idx="6">
                  <c:v>Mainland</c:v>
                </c:pt>
              </c:strCache>
            </c:strRef>
          </c:cat>
          <c:val>
            <c:numRef>
              <c:f>Sheet4!$AA$10:$AA$16</c:f>
              <c:numCache>
                <c:formatCode>0.0%</c:formatCode>
                <c:ptCount val="7"/>
                <c:pt idx="0">
                  <c:v>0.66666666666666663</c:v>
                </c:pt>
                <c:pt idx="1">
                  <c:v>0</c:v>
                </c:pt>
                <c:pt idx="2">
                  <c:v>0.60000000000000064</c:v>
                </c:pt>
                <c:pt idx="3">
                  <c:v>1</c:v>
                </c:pt>
                <c:pt idx="4">
                  <c:v>1</c:v>
                </c:pt>
                <c:pt idx="5">
                  <c:v>0</c:v>
                </c:pt>
                <c:pt idx="6">
                  <c:v>0</c:v>
                </c:pt>
              </c:numCache>
            </c:numRef>
          </c:val>
        </c:ser>
        <c:ser>
          <c:idx val="2"/>
          <c:order val="2"/>
          <c:tx>
            <c:strRef>
              <c:f>Sheet4!$AB$9</c:f>
              <c:strCache>
                <c:ptCount val="1"/>
                <c:pt idx="0">
                  <c:v>3 bed</c:v>
                </c:pt>
              </c:strCache>
            </c:strRef>
          </c:tx>
          <c:dLbls>
            <c:dLbl>
              <c:idx val="1"/>
              <c:delete val="1"/>
            </c:dLbl>
            <c:dLbl>
              <c:idx val="3"/>
              <c:delete val="1"/>
            </c:dLbl>
            <c:dLbl>
              <c:idx val="4"/>
              <c:delete val="1"/>
            </c:dLbl>
            <c:dLbl>
              <c:idx val="6"/>
              <c:delete val="1"/>
            </c:dLbl>
            <c:showVal val="1"/>
          </c:dLbls>
          <c:cat>
            <c:strRef>
              <c:f>Sheet4!$Y$10:$Y$16</c:f>
              <c:strCache>
                <c:ptCount val="7"/>
                <c:pt idx="0">
                  <c:v>St Mary's</c:v>
                </c:pt>
                <c:pt idx="1">
                  <c:v>Tresco</c:v>
                </c:pt>
                <c:pt idx="2">
                  <c:v>St Agnes</c:v>
                </c:pt>
                <c:pt idx="3">
                  <c:v>St Martin's</c:v>
                </c:pt>
                <c:pt idx="4">
                  <c:v>Bryher</c:v>
                </c:pt>
                <c:pt idx="5">
                  <c:v>Any island</c:v>
                </c:pt>
                <c:pt idx="6">
                  <c:v>Mainland</c:v>
                </c:pt>
              </c:strCache>
            </c:strRef>
          </c:cat>
          <c:val>
            <c:numRef>
              <c:f>Sheet4!$AB$10:$AB$16</c:f>
              <c:numCache>
                <c:formatCode>0.0%</c:formatCode>
                <c:ptCount val="7"/>
                <c:pt idx="0">
                  <c:v>0.18181818181818213</c:v>
                </c:pt>
                <c:pt idx="1">
                  <c:v>0</c:v>
                </c:pt>
                <c:pt idx="2">
                  <c:v>0.4</c:v>
                </c:pt>
                <c:pt idx="3">
                  <c:v>0</c:v>
                </c:pt>
                <c:pt idx="4">
                  <c:v>0</c:v>
                </c:pt>
                <c:pt idx="5">
                  <c:v>1</c:v>
                </c:pt>
                <c:pt idx="6">
                  <c:v>0</c:v>
                </c:pt>
              </c:numCache>
            </c:numRef>
          </c:val>
        </c:ser>
        <c:ser>
          <c:idx val="3"/>
          <c:order val="3"/>
          <c:tx>
            <c:strRef>
              <c:f>Sheet4!$AC$9</c:f>
              <c:strCache>
                <c:ptCount val="1"/>
                <c:pt idx="0">
                  <c:v>4 bed</c:v>
                </c:pt>
              </c:strCache>
            </c:strRef>
          </c:tx>
          <c:dLbls>
            <c:dLbl>
              <c:idx val="1"/>
              <c:delete val="1"/>
            </c:dLbl>
            <c:dLbl>
              <c:idx val="2"/>
              <c:delete val="1"/>
            </c:dLbl>
            <c:dLbl>
              <c:idx val="3"/>
              <c:delete val="1"/>
            </c:dLbl>
            <c:dLbl>
              <c:idx val="4"/>
              <c:delete val="1"/>
            </c:dLbl>
            <c:dLbl>
              <c:idx val="5"/>
              <c:delete val="1"/>
            </c:dLbl>
            <c:dLbl>
              <c:idx val="6"/>
              <c:delete val="1"/>
            </c:dLbl>
            <c:showVal val="1"/>
          </c:dLbls>
          <c:cat>
            <c:strRef>
              <c:f>Sheet4!$Y$10:$Y$16</c:f>
              <c:strCache>
                <c:ptCount val="7"/>
                <c:pt idx="0">
                  <c:v>St Mary's</c:v>
                </c:pt>
                <c:pt idx="1">
                  <c:v>Tresco</c:v>
                </c:pt>
                <c:pt idx="2">
                  <c:v>St Agnes</c:v>
                </c:pt>
                <c:pt idx="3">
                  <c:v>St Martin's</c:v>
                </c:pt>
                <c:pt idx="4">
                  <c:v>Bryher</c:v>
                </c:pt>
                <c:pt idx="5">
                  <c:v>Any island</c:v>
                </c:pt>
                <c:pt idx="6">
                  <c:v>Mainland</c:v>
                </c:pt>
              </c:strCache>
            </c:strRef>
          </c:cat>
          <c:val>
            <c:numRef>
              <c:f>Sheet4!$AC$10:$AC$16</c:f>
              <c:numCache>
                <c:formatCode>0.0%</c:formatCode>
                <c:ptCount val="7"/>
                <c:pt idx="0">
                  <c:v>6.0606060606060622E-2</c:v>
                </c:pt>
                <c:pt idx="1">
                  <c:v>0</c:v>
                </c:pt>
                <c:pt idx="2">
                  <c:v>0</c:v>
                </c:pt>
                <c:pt idx="3">
                  <c:v>0</c:v>
                </c:pt>
                <c:pt idx="4">
                  <c:v>0</c:v>
                </c:pt>
                <c:pt idx="5">
                  <c:v>0</c:v>
                </c:pt>
                <c:pt idx="6">
                  <c:v>0</c:v>
                </c:pt>
              </c:numCache>
            </c:numRef>
          </c:val>
        </c:ser>
        <c:ser>
          <c:idx val="4"/>
          <c:order val="4"/>
          <c:tx>
            <c:strRef>
              <c:f>Sheet4!$AD$9</c:f>
              <c:strCache>
                <c:ptCount val="1"/>
                <c:pt idx="0">
                  <c:v>5 bed</c:v>
                </c:pt>
              </c:strCache>
            </c:strRef>
          </c:tx>
          <c:cat>
            <c:strRef>
              <c:f>Sheet4!$Y$10:$Y$16</c:f>
              <c:strCache>
                <c:ptCount val="7"/>
                <c:pt idx="0">
                  <c:v>St Mary's</c:v>
                </c:pt>
                <c:pt idx="1">
                  <c:v>Tresco</c:v>
                </c:pt>
                <c:pt idx="2">
                  <c:v>St Agnes</c:v>
                </c:pt>
                <c:pt idx="3">
                  <c:v>St Martin's</c:v>
                </c:pt>
                <c:pt idx="4">
                  <c:v>Bryher</c:v>
                </c:pt>
                <c:pt idx="5">
                  <c:v>Any island</c:v>
                </c:pt>
                <c:pt idx="6">
                  <c:v>Mainland</c:v>
                </c:pt>
              </c:strCache>
            </c:strRef>
          </c:cat>
          <c:val>
            <c:numRef>
              <c:f>Sheet4!$AD$10:$AD$16</c:f>
              <c:numCache>
                <c:formatCode>0.0%</c:formatCode>
                <c:ptCount val="7"/>
                <c:pt idx="0">
                  <c:v>0</c:v>
                </c:pt>
                <c:pt idx="1">
                  <c:v>0</c:v>
                </c:pt>
                <c:pt idx="2">
                  <c:v>0</c:v>
                </c:pt>
                <c:pt idx="3">
                  <c:v>0</c:v>
                </c:pt>
                <c:pt idx="4">
                  <c:v>0</c:v>
                </c:pt>
                <c:pt idx="5">
                  <c:v>0</c:v>
                </c:pt>
                <c:pt idx="6">
                  <c:v>0</c:v>
                </c:pt>
              </c:numCache>
            </c:numRef>
          </c:val>
        </c:ser>
        <c:overlap val="100"/>
        <c:axId val="211283968"/>
        <c:axId val="211285504"/>
      </c:barChart>
      <c:catAx>
        <c:axId val="211283968"/>
        <c:scaling>
          <c:orientation val="minMax"/>
        </c:scaling>
        <c:axPos val="l"/>
        <c:tickLblPos val="nextTo"/>
        <c:txPr>
          <a:bodyPr/>
          <a:lstStyle/>
          <a:p>
            <a:pPr>
              <a:defRPr sz="800"/>
            </a:pPr>
            <a:endParaRPr lang="en-US"/>
          </a:p>
        </c:txPr>
        <c:crossAx val="211285504"/>
        <c:crosses val="autoZero"/>
        <c:auto val="1"/>
        <c:lblAlgn val="ctr"/>
        <c:lblOffset val="100"/>
      </c:catAx>
      <c:valAx>
        <c:axId val="211285504"/>
        <c:scaling>
          <c:orientation val="minMax"/>
        </c:scaling>
        <c:axPos val="b"/>
        <c:majorGridlines/>
        <c:numFmt formatCode="0%" sourceLinked="1"/>
        <c:tickLblPos val="nextTo"/>
        <c:txPr>
          <a:bodyPr/>
          <a:lstStyle/>
          <a:p>
            <a:pPr>
              <a:defRPr sz="800"/>
            </a:pPr>
            <a:endParaRPr lang="en-US"/>
          </a:p>
        </c:txPr>
        <c:crossAx val="211283968"/>
        <c:crosses val="autoZero"/>
        <c:crossBetween val="between"/>
      </c:valAx>
    </c:plotArea>
    <c:legend>
      <c:legendPos val="b"/>
      <c:txPr>
        <a:bodyPr/>
        <a:lstStyle/>
        <a:p>
          <a:pPr>
            <a:defRPr sz="900"/>
          </a:pPr>
          <a:endParaRPr lang="en-US"/>
        </a:p>
      </c:txPr>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1000"/>
            </a:pPr>
            <a:r>
              <a:rPr lang="en-US" sz="1000"/>
              <a:t>What type of housing would you like to see on St Mary's</a:t>
            </a:r>
          </a:p>
        </c:rich>
      </c:tx>
    </c:title>
    <c:plotArea>
      <c:layout/>
      <c:pieChart>
        <c:varyColors val="1"/>
        <c:ser>
          <c:idx val="0"/>
          <c:order val="0"/>
          <c:tx>
            <c:strRef>
              <c:f>Sheet3!$Z$9</c:f>
              <c:strCache>
                <c:ptCount val="1"/>
                <c:pt idx="0">
                  <c:v>St Mary's</c:v>
                </c:pt>
              </c:strCache>
            </c:strRef>
          </c:tx>
          <c:explosion val="25"/>
          <c:dPt>
            <c:idx val="0"/>
            <c:spPr>
              <a:solidFill>
                <a:schemeClr val="accent4">
                  <a:lumMod val="50000"/>
                </a:schemeClr>
              </a:solidFill>
            </c:spPr>
          </c:dPt>
          <c:dLbls>
            <c:dLbl>
              <c:idx val="0"/>
              <c:layout>
                <c:manualLayout>
                  <c:x val="1.9202318460192481E-2"/>
                  <c:y val="-8.2480314960629922E-3"/>
                </c:manualLayout>
              </c:layout>
              <c:showCatName val="1"/>
              <c:showPercent val="1"/>
            </c:dLbl>
            <c:dLbl>
              <c:idx val="5"/>
              <c:layout>
                <c:manualLayout>
                  <c:x val="-6.6498359580052457E-2"/>
                  <c:y val="6.4557086614173323E-2"/>
                </c:manualLayout>
              </c:layout>
              <c:showCatName val="1"/>
              <c:showPercent val="1"/>
            </c:dLbl>
            <c:txPr>
              <a:bodyPr/>
              <a:lstStyle/>
              <a:p>
                <a:pPr>
                  <a:defRPr sz="800"/>
                </a:pPr>
                <a:endParaRPr lang="en-US"/>
              </a:p>
            </c:txPr>
            <c:showCatName val="1"/>
            <c:showPercent val="1"/>
            <c:showLeaderLines val="1"/>
          </c:dLbls>
          <c:cat>
            <c:strRef>
              <c:f>Sheet3!$AA$8:$AF$8</c:f>
              <c:strCache>
                <c:ptCount val="6"/>
                <c:pt idx="0">
                  <c:v>House</c:v>
                </c:pt>
                <c:pt idx="1">
                  <c:v>Housing for disabled persons</c:v>
                </c:pt>
                <c:pt idx="2">
                  <c:v>Flat/maisonette</c:v>
                </c:pt>
                <c:pt idx="3">
                  <c:v>Housing for older persons</c:v>
                </c:pt>
                <c:pt idx="4">
                  <c:v>Bungalow</c:v>
                </c:pt>
                <c:pt idx="5">
                  <c:v>Anything/don’t mind</c:v>
                </c:pt>
              </c:strCache>
            </c:strRef>
          </c:cat>
          <c:val>
            <c:numRef>
              <c:f>Sheet3!$AA$9:$AF$9</c:f>
              <c:numCache>
                <c:formatCode>General</c:formatCode>
                <c:ptCount val="6"/>
                <c:pt idx="0">
                  <c:v>16</c:v>
                </c:pt>
                <c:pt idx="2">
                  <c:v>6</c:v>
                </c:pt>
                <c:pt idx="4">
                  <c:v>3</c:v>
                </c:pt>
                <c:pt idx="5">
                  <c:v>10</c:v>
                </c:pt>
              </c:numCache>
            </c:numRef>
          </c:val>
        </c:ser>
        <c:firstSliceAng val="0"/>
      </c:pieChart>
    </c:plotArea>
    <c:plotVisOnly val="1"/>
    <c:dispBlanksAs val="zero"/>
  </c:chart>
  <c:txPr>
    <a:bodyPr/>
    <a:lstStyle/>
    <a:p>
      <a:pPr>
        <a:defRPr>
          <a:latin typeface="Arial" pitchFamily="34" charset="0"/>
          <a:cs typeface="Arial" pitchFamily="34" charset="0"/>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'7 HN - income'!$L$87</c:f>
              <c:strCache>
                <c:ptCount val="1"/>
                <c:pt idx="0">
                  <c:v>You</c:v>
                </c:pt>
              </c:strCache>
            </c:strRef>
          </c:tx>
          <c:spPr>
            <a:solidFill>
              <a:schemeClr val="accent4">
                <a:lumMod val="50000"/>
              </a:schemeClr>
            </a:solidFill>
          </c:spPr>
          <c:cat>
            <c:strRef>
              <c:f>'7 HN - income'!$K$88:$K$97</c:f>
              <c:strCache>
                <c:ptCount val="10"/>
                <c:pt idx="0">
                  <c:v>Less than £100 </c:v>
                </c:pt>
                <c:pt idx="1">
                  <c:v>£100 - £149</c:v>
                </c:pt>
                <c:pt idx="2">
                  <c:v>£150 - £199</c:v>
                </c:pt>
                <c:pt idx="3">
                  <c:v>£200 - £249</c:v>
                </c:pt>
                <c:pt idx="4">
                  <c:v>£250 - £299</c:v>
                </c:pt>
                <c:pt idx="5">
                  <c:v>£300 - £349</c:v>
                </c:pt>
                <c:pt idx="6">
                  <c:v>£350 - £399</c:v>
                </c:pt>
                <c:pt idx="7">
                  <c:v>£400 - £449</c:v>
                </c:pt>
                <c:pt idx="8">
                  <c:v>£450 - £500</c:v>
                </c:pt>
                <c:pt idx="9">
                  <c:v>Over £500</c:v>
                </c:pt>
              </c:strCache>
            </c:strRef>
          </c:cat>
          <c:val>
            <c:numRef>
              <c:f>'7 HN - income'!$L$88:$L$97</c:f>
              <c:numCache>
                <c:formatCode>0.0%</c:formatCode>
                <c:ptCount val="10"/>
                <c:pt idx="0">
                  <c:v>4.2857142857142913E-2</c:v>
                </c:pt>
                <c:pt idx="1">
                  <c:v>2.8571428571428591E-2</c:v>
                </c:pt>
                <c:pt idx="2">
                  <c:v>0.15714285714285736</c:v>
                </c:pt>
                <c:pt idx="3">
                  <c:v>0.11428571428571443</c:v>
                </c:pt>
                <c:pt idx="4">
                  <c:v>7.1428571428571425E-2</c:v>
                </c:pt>
                <c:pt idx="5">
                  <c:v>5.7142857142857141E-2</c:v>
                </c:pt>
                <c:pt idx="6">
                  <c:v>4.2857142857142913E-2</c:v>
                </c:pt>
                <c:pt idx="7">
                  <c:v>1.4285714285714285E-2</c:v>
                </c:pt>
                <c:pt idx="8">
                  <c:v>1.4285714285714285E-2</c:v>
                </c:pt>
                <c:pt idx="9">
                  <c:v>1.4285714285714285E-2</c:v>
                </c:pt>
              </c:numCache>
            </c:numRef>
          </c:val>
        </c:ser>
        <c:ser>
          <c:idx val="1"/>
          <c:order val="1"/>
          <c:tx>
            <c:strRef>
              <c:f>'7 HN - income'!$M$87</c:f>
              <c:strCache>
                <c:ptCount val="1"/>
                <c:pt idx="0">
                  <c:v>Partner</c:v>
                </c:pt>
              </c:strCache>
            </c:strRef>
          </c:tx>
          <c:cat>
            <c:strRef>
              <c:f>'7 HN - income'!$K$88:$K$97</c:f>
              <c:strCache>
                <c:ptCount val="10"/>
                <c:pt idx="0">
                  <c:v>Less than £100 </c:v>
                </c:pt>
                <c:pt idx="1">
                  <c:v>£100 - £149</c:v>
                </c:pt>
                <c:pt idx="2">
                  <c:v>£150 - £199</c:v>
                </c:pt>
                <c:pt idx="3">
                  <c:v>£200 - £249</c:v>
                </c:pt>
                <c:pt idx="4">
                  <c:v>£250 - £299</c:v>
                </c:pt>
                <c:pt idx="5">
                  <c:v>£300 - £349</c:v>
                </c:pt>
                <c:pt idx="6">
                  <c:v>£350 - £399</c:v>
                </c:pt>
                <c:pt idx="7">
                  <c:v>£400 - £449</c:v>
                </c:pt>
                <c:pt idx="8">
                  <c:v>£450 - £500</c:v>
                </c:pt>
                <c:pt idx="9">
                  <c:v>Over £500</c:v>
                </c:pt>
              </c:strCache>
            </c:strRef>
          </c:cat>
          <c:val>
            <c:numRef>
              <c:f>'7 HN - income'!$M$88:$M$97</c:f>
              <c:numCache>
                <c:formatCode>0.0%</c:formatCode>
                <c:ptCount val="10"/>
                <c:pt idx="0">
                  <c:v>2.8571428571428591E-2</c:v>
                </c:pt>
                <c:pt idx="1">
                  <c:v>2.8571428571428591E-2</c:v>
                </c:pt>
                <c:pt idx="2">
                  <c:v>7.1428571428571425E-2</c:v>
                </c:pt>
                <c:pt idx="3">
                  <c:v>0.11428571428571443</c:v>
                </c:pt>
                <c:pt idx="4">
                  <c:v>0.1</c:v>
                </c:pt>
                <c:pt idx="5">
                  <c:v>5.7142857142857141E-2</c:v>
                </c:pt>
                <c:pt idx="6">
                  <c:v>1.4285714285714285E-2</c:v>
                </c:pt>
                <c:pt idx="7">
                  <c:v>1.4285714285714285E-2</c:v>
                </c:pt>
                <c:pt idx="8">
                  <c:v>0</c:v>
                </c:pt>
                <c:pt idx="9">
                  <c:v>1.4285714285714285E-2</c:v>
                </c:pt>
              </c:numCache>
            </c:numRef>
          </c:val>
        </c:ser>
        <c:axId val="211659392"/>
        <c:axId val="211669760"/>
      </c:barChart>
      <c:catAx>
        <c:axId val="211659392"/>
        <c:scaling>
          <c:orientation val="minMax"/>
        </c:scaling>
        <c:axPos val="b"/>
        <c:title>
          <c:tx>
            <c:rich>
              <a:bodyPr/>
              <a:lstStyle/>
              <a:p>
                <a:pPr>
                  <a:defRPr/>
                </a:pPr>
                <a:r>
                  <a:rPr lang="en-US"/>
                  <a:t>Weekly net income</a:t>
                </a:r>
              </a:p>
            </c:rich>
          </c:tx>
        </c:title>
        <c:tickLblPos val="nextTo"/>
        <c:txPr>
          <a:bodyPr/>
          <a:lstStyle/>
          <a:p>
            <a:pPr>
              <a:defRPr sz="800"/>
            </a:pPr>
            <a:endParaRPr lang="en-US"/>
          </a:p>
        </c:txPr>
        <c:crossAx val="211669760"/>
        <c:crosses val="autoZero"/>
        <c:auto val="1"/>
        <c:lblAlgn val="ctr"/>
        <c:lblOffset val="100"/>
      </c:catAx>
      <c:valAx>
        <c:axId val="211669760"/>
        <c:scaling>
          <c:orientation val="minMax"/>
        </c:scaling>
        <c:axPos val="l"/>
        <c:majorGridlines/>
        <c:numFmt formatCode="0.0%" sourceLinked="1"/>
        <c:tickLblPos val="nextTo"/>
        <c:txPr>
          <a:bodyPr/>
          <a:lstStyle/>
          <a:p>
            <a:pPr>
              <a:defRPr sz="800"/>
            </a:pPr>
            <a:endParaRPr lang="en-US"/>
          </a:p>
        </c:txPr>
        <c:crossAx val="211659392"/>
        <c:crosses val="autoZero"/>
        <c:crossBetween val="between"/>
      </c:valAx>
    </c:plotArea>
    <c:legend>
      <c:legendPos val="b"/>
      <c:layout>
        <c:manualLayout>
          <c:xMode val="edge"/>
          <c:yMode val="edge"/>
          <c:x val="9.9529746281714848E-2"/>
          <c:y val="0.89838181685622631"/>
          <c:w val="0.77871806649168973"/>
          <c:h val="7.3840405365995898E-2"/>
        </c:manualLayout>
      </c:layout>
      <c:txPr>
        <a:bodyPr/>
        <a:lstStyle/>
        <a:p>
          <a:pPr>
            <a:defRPr sz="900"/>
          </a:pPr>
          <a:endParaRPr lang="en-US"/>
        </a:p>
      </c:txPr>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spPr>
            <a:solidFill>
              <a:schemeClr val="accent4">
                <a:lumMod val="50000"/>
              </a:schemeClr>
            </a:solidFill>
          </c:spPr>
          <c:dLbls>
            <c:showVal val="1"/>
          </c:dLbls>
          <c:cat>
            <c:strRef>
              <c:f>'5 HN - Costs'!$D$86:$L$86</c:f>
              <c:strCache>
                <c:ptCount val="9"/>
                <c:pt idx="0">
                  <c:v>Up to £75</c:v>
                </c:pt>
                <c:pt idx="1">
                  <c:v>£75 - £100</c:v>
                </c:pt>
                <c:pt idx="2">
                  <c:v>£100 - £125</c:v>
                </c:pt>
                <c:pt idx="3">
                  <c:v>£125 - £150</c:v>
                </c:pt>
                <c:pt idx="4">
                  <c:v>£150 - £175</c:v>
                </c:pt>
                <c:pt idx="5">
                  <c:v>£175 - £200</c:v>
                </c:pt>
                <c:pt idx="6">
                  <c:v>£200 - £250</c:v>
                </c:pt>
                <c:pt idx="7">
                  <c:v>£250 - £300</c:v>
                </c:pt>
                <c:pt idx="8">
                  <c:v>Over £300</c:v>
                </c:pt>
              </c:strCache>
            </c:strRef>
          </c:cat>
          <c:val>
            <c:numRef>
              <c:f>'5 HN - Costs'!$D$88:$L$88</c:f>
              <c:numCache>
                <c:formatCode>0.0%</c:formatCode>
                <c:ptCount val="9"/>
                <c:pt idx="0">
                  <c:v>9.7560975609756226E-2</c:v>
                </c:pt>
                <c:pt idx="1">
                  <c:v>0.36585365853658525</c:v>
                </c:pt>
                <c:pt idx="2">
                  <c:v>0.21951219512195158</c:v>
                </c:pt>
                <c:pt idx="3">
                  <c:v>0.12195121951219511</c:v>
                </c:pt>
                <c:pt idx="4">
                  <c:v>0.12195121951219511</c:v>
                </c:pt>
                <c:pt idx="5">
                  <c:v>4.8780487804878175E-2</c:v>
                </c:pt>
                <c:pt idx="6">
                  <c:v>0</c:v>
                </c:pt>
                <c:pt idx="7">
                  <c:v>0</c:v>
                </c:pt>
                <c:pt idx="8">
                  <c:v>2.4390243902439025E-2</c:v>
                </c:pt>
              </c:numCache>
            </c:numRef>
          </c:val>
        </c:ser>
        <c:axId val="211677568"/>
        <c:axId val="211679488"/>
      </c:barChart>
      <c:catAx>
        <c:axId val="211677568"/>
        <c:scaling>
          <c:orientation val="minMax"/>
        </c:scaling>
        <c:axPos val="b"/>
        <c:title>
          <c:tx>
            <c:rich>
              <a:bodyPr/>
              <a:lstStyle/>
              <a:p>
                <a:pPr>
                  <a:defRPr/>
                </a:pPr>
                <a:r>
                  <a:rPr lang="en-US"/>
                  <a:t>Rent budget per week</a:t>
                </a:r>
              </a:p>
            </c:rich>
          </c:tx>
        </c:title>
        <c:tickLblPos val="nextTo"/>
        <c:txPr>
          <a:bodyPr/>
          <a:lstStyle/>
          <a:p>
            <a:pPr>
              <a:defRPr sz="900"/>
            </a:pPr>
            <a:endParaRPr lang="en-US"/>
          </a:p>
        </c:txPr>
        <c:crossAx val="211679488"/>
        <c:crosses val="autoZero"/>
        <c:auto val="1"/>
        <c:lblAlgn val="ctr"/>
        <c:lblOffset val="100"/>
      </c:catAx>
      <c:valAx>
        <c:axId val="211679488"/>
        <c:scaling>
          <c:orientation val="minMax"/>
        </c:scaling>
        <c:axPos val="l"/>
        <c:majorGridlines/>
        <c:numFmt formatCode="0.0%" sourceLinked="1"/>
        <c:tickLblPos val="nextTo"/>
        <c:txPr>
          <a:bodyPr/>
          <a:lstStyle/>
          <a:p>
            <a:pPr>
              <a:defRPr sz="900"/>
            </a:pPr>
            <a:endParaRPr lang="en-US"/>
          </a:p>
        </c:txPr>
        <c:crossAx val="211677568"/>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spPr>
            <a:solidFill>
              <a:schemeClr val="accent4">
                <a:lumMod val="50000"/>
              </a:schemeClr>
            </a:solidFill>
          </c:spPr>
          <c:dLbls>
            <c:showVal val="1"/>
          </c:dLbls>
          <c:cat>
            <c:strRef>
              <c:f>'5 HN - Costs'!$Y$86:$AH$86</c:f>
              <c:strCache>
                <c:ptCount val="10"/>
                <c:pt idx="0">
                  <c:v>Less than £100k</c:v>
                </c:pt>
                <c:pt idx="1">
                  <c:v>£100 - £150k</c:v>
                </c:pt>
                <c:pt idx="2">
                  <c:v>£150k - £200k</c:v>
                </c:pt>
                <c:pt idx="3">
                  <c:v>£200k - £250k</c:v>
                </c:pt>
                <c:pt idx="4">
                  <c:v>£250k - £300k</c:v>
                </c:pt>
                <c:pt idx="5">
                  <c:v>£300k - £400k</c:v>
                </c:pt>
                <c:pt idx="6">
                  <c:v>£400k - £500k</c:v>
                </c:pt>
                <c:pt idx="7">
                  <c:v>£500k - £750k</c:v>
                </c:pt>
                <c:pt idx="8">
                  <c:v>£750k - £1m</c:v>
                </c:pt>
                <c:pt idx="9">
                  <c:v>Over £1m</c:v>
                </c:pt>
              </c:strCache>
            </c:strRef>
          </c:cat>
          <c:val>
            <c:numRef>
              <c:f>'5 HN - Costs'!$Y$88:$AH$88</c:f>
              <c:numCache>
                <c:formatCode>0.0%</c:formatCode>
                <c:ptCount val="10"/>
                <c:pt idx="0">
                  <c:v>0.45945945945945948</c:v>
                </c:pt>
                <c:pt idx="1">
                  <c:v>0.24324324324324348</c:v>
                </c:pt>
                <c:pt idx="2">
                  <c:v>0.16216216216216242</c:v>
                </c:pt>
                <c:pt idx="3">
                  <c:v>2.7027027027027088E-2</c:v>
                </c:pt>
                <c:pt idx="4">
                  <c:v>5.4054054054054092E-2</c:v>
                </c:pt>
                <c:pt idx="5">
                  <c:v>2.7027027027027088E-2</c:v>
                </c:pt>
                <c:pt idx="6">
                  <c:v>2.7027027027027088E-2</c:v>
                </c:pt>
                <c:pt idx="7">
                  <c:v>0</c:v>
                </c:pt>
                <c:pt idx="8">
                  <c:v>0</c:v>
                </c:pt>
                <c:pt idx="9">
                  <c:v>0</c:v>
                </c:pt>
              </c:numCache>
            </c:numRef>
          </c:val>
        </c:ser>
        <c:axId val="211711488"/>
        <c:axId val="211713408"/>
      </c:barChart>
      <c:catAx>
        <c:axId val="211711488"/>
        <c:scaling>
          <c:orientation val="minMax"/>
        </c:scaling>
        <c:axPos val="b"/>
        <c:title>
          <c:tx>
            <c:rich>
              <a:bodyPr/>
              <a:lstStyle/>
              <a:p>
                <a:pPr>
                  <a:defRPr/>
                </a:pPr>
                <a:r>
                  <a:rPr lang="en-US"/>
                  <a:t>Value of property respondents could afford</a:t>
                </a:r>
              </a:p>
            </c:rich>
          </c:tx>
        </c:title>
        <c:tickLblPos val="nextTo"/>
        <c:txPr>
          <a:bodyPr/>
          <a:lstStyle/>
          <a:p>
            <a:pPr>
              <a:defRPr sz="800"/>
            </a:pPr>
            <a:endParaRPr lang="en-US"/>
          </a:p>
        </c:txPr>
        <c:crossAx val="211713408"/>
        <c:crosses val="autoZero"/>
        <c:auto val="1"/>
        <c:lblAlgn val="ctr"/>
        <c:lblOffset val="100"/>
      </c:catAx>
      <c:valAx>
        <c:axId val="211713408"/>
        <c:scaling>
          <c:orientation val="minMax"/>
        </c:scaling>
        <c:axPos val="l"/>
        <c:majorGridlines/>
        <c:numFmt formatCode="0.0%" sourceLinked="1"/>
        <c:tickLblPos val="nextTo"/>
        <c:txPr>
          <a:bodyPr/>
          <a:lstStyle/>
          <a:p>
            <a:pPr>
              <a:defRPr sz="800"/>
            </a:pPr>
            <a:endParaRPr lang="en-US"/>
          </a:p>
        </c:txPr>
        <c:crossAx val="211711488"/>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autoTitleDeleted val="1"/>
    <c:plotArea>
      <c:layout/>
      <c:lineChart>
        <c:grouping val="standard"/>
        <c:ser>
          <c:idx val="1"/>
          <c:order val="0"/>
          <c:tx>
            <c:v>Average house prices</c:v>
          </c:tx>
          <c:spPr>
            <a:ln>
              <a:solidFill>
                <a:schemeClr val="accent6">
                  <a:lumMod val="50000"/>
                </a:schemeClr>
              </a:solidFill>
            </a:ln>
          </c:spPr>
          <c:marker>
            <c:symbol val="square"/>
            <c:size val="4"/>
            <c:spPr>
              <a:solidFill>
                <a:schemeClr val="accent6">
                  <a:lumMod val="50000"/>
                </a:schemeClr>
              </a:solidFill>
              <a:ln>
                <a:solidFill>
                  <a:schemeClr val="accent6">
                    <a:lumMod val="50000"/>
                  </a:schemeClr>
                </a:solidFill>
              </a:ln>
            </c:spPr>
          </c:marker>
          <c:cat>
            <c:numRef>
              <c:f>Sheet1!$G$41:$U$41</c:f>
              <c:numCache>
                <c:formatCode>General</c:formatCode>
                <c:ptCount val="15"/>
                <c:pt idx="0">
                  <c:v>1996</c:v>
                </c:pt>
                <c:pt idx="1">
                  <c:v>1997</c:v>
                </c:pt>
                <c:pt idx="2">
                  <c:v>1998</c:v>
                </c:pt>
                <c:pt idx="3">
                  <c:v>1999</c:v>
                </c:pt>
                <c:pt idx="4">
                  <c:v>2000</c:v>
                </c:pt>
                <c:pt idx="5">
                  <c:v>2001</c:v>
                </c:pt>
                <c:pt idx="6">
                  <c:v>2002</c:v>
                </c:pt>
                <c:pt idx="7">
                  <c:v>2003</c:v>
                </c:pt>
                <c:pt idx="8">
                  <c:v>2004</c:v>
                </c:pt>
                <c:pt idx="9" formatCode="0">
                  <c:v>2005</c:v>
                </c:pt>
                <c:pt idx="10" formatCode="0">
                  <c:v>2006</c:v>
                </c:pt>
                <c:pt idx="11" formatCode="0">
                  <c:v>2007</c:v>
                </c:pt>
                <c:pt idx="12" formatCode="0">
                  <c:v>2008</c:v>
                </c:pt>
                <c:pt idx="13" formatCode="0">
                  <c:v>2009</c:v>
                </c:pt>
                <c:pt idx="14" formatCode="0">
                  <c:v>2010</c:v>
                </c:pt>
              </c:numCache>
            </c:numRef>
          </c:cat>
          <c:val>
            <c:numRef>
              <c:f>Sheet1!$G$42:$U$42</c:f>
              <c:numCache>
                <c:formatCode>#,##0</c:formatCode>
                <c:ptCount val="15"/>
                <c:pt idx="0">
                  <c:v>94250</c:v>
                </c:pt>
                <c:pt idx="1">
                  <c:v>135000</c:v>
                </c:pt>
                <c:pt idx="2">
                  <c:v>153500</c:v>
                </c:pt>
                <c:pt idx="3">
                  <c:v>155000</c:v>
                </c:pt>
                <c:pt idx="4">
                  <c:v>180000</c:v>
                </c:pt>
                <c:pt idx="5">
                  <c:v>180000</c:v>
                </c:pt>
                <c:pt idx="6">
                  <c:v>225000</c:v>
                </c:pt>
                <c:pt idx="7">
                  <c:v>270000</c:v>
                </c:pt>
                <c:pt idx="8">
                  <c:v>287500</c:v>
                </c:pt>
                <c:pt idx="9">
                  <c:v>280000</c:v>
                </c:pt>
                <c:pt idx="10">
                  <c:v>405000</c:v>
                </c:pt>
                <c:pt idx="11">
                  <c:v>350000</c:v>
                </c:pt>
                <c:pt idx="12">
                  <c:v>285000</c:v>
                </c:pt>
                <c:pt idx="13">
                  <c:v>366500</c:v>
                </c:pt>
                <c:pt idx="14">
                  <c:v>305000</c:v>
                </c:pt>
              </c:numCache>
            </c:numRef>
          </c:val>
        </c:ser>
        <c:marker val="1"/>
        <c:axId val="340583168"/>
        <c:axId val="340585088"/>
      </c:lineChart>
      <c:catAx>
        <c:axId val="340583168"/>
        <c:scaling>
          <c:orientation val="minMax"/>
        </c:scaling>
        <c:axPos val="b"/>
        <c:numFmt formatCode="General" sourceLinked="1"/>
        <c:tickLblPos val="nextTo"/>
        <c:txPr>
          <a:bodyPr/>
          <a:lstStyle/>
          <a:p>
            <a:pPr>
              <a:defRPr sz="900"/>
            </a:pPr>
            <a:endParaRPr lang="en-US"/>
          </a:p>
        </c:txPr>
        <c:crossAx val="340585088"/>
        <c:crosses val="autoZero"/>
        <c:auto val="1"/>
        <c:lblAlgn val="ctr"/>
        <c:lblOffset val="100"/>
      </c:catAx>
      <c:valAx>
        <c:axId val="340585088"/>
        <c:scaling>
          <c:orientation val="minMax"/>
        </c:scaling>
        <c:axPos val="l"/>
        <c:majorGridlines/>
        <c:title>
          <c:tx>
            <c:rich>
              <a:bodyPr rot="-5400000" vert="horz"/>
              <a:lstStyle/>
              <a:p>
                <a:pPr>
                  <a:defRPr sz="800"/>
                </a:pPr>
                <a:r>
                  <a:rPr lang="en-US" sz="800"/>
                  <a:t>Median house price - Isles of Scilly</a:t>
                </a:r>
              </a:p>
            </c:rich>
          </c:tx>
        </c:title>
        <c:numFmt formatCode="#,##0" sourceLinked="1"/>
        <c:tickLblPos val="nextTo"/>
        <c:txPr>
          <a:bodyPr/>
          <a:lstStyle/>
          <a:p>
            <a:pPr>
              <a:defRPr sz="800"/>
            </a:pPr>
            <a:endParaRPr lang="en-US"/>
          </a:p>
        </c:txPr>
        <c:crossAx val="340583168"/>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percentStacked"/>
        <c:ser>
          <c:idx val="0"/>
          <c:order val="0"/>
          <c:tx>
            <c:strRef>
              <c:f>'8 Future'!$D$91</c:f>
              <c:strCache>
                <c:ptCount val="1"/>
                <c:pt idx="0">
                  <c:v>Yes</c:v>
                </c:pt>
              </c:strCache>
            </c:strRef>
          </c:tx>
          <c:spPr>
            <a:solidFill>
              <a:schemeClr val="accent4">
                <a:lumMod val="50000"/>
              </a:schemeClr>
            </a:solidFill>
          </c:spPr>
          <c:dLbls>
            <c:txPr>
              <a:bodyPr/>
              <a:lstStyle/>
              <a:p>
                <a:pPr>
                  <a:defRPr sz="900" b="0">
                    <a:solidFill>
                      <a:schemeClr val="bg1"/>
                    </a:solidFill>
                  </a:defRPr>
                </a:pPr>
                <a:endParaRPr lang="en-US"/>
              </a:p>
            </c:txPr>
            <c:showVal val="1"/>
          </c:dLbls>
          <c:cat>
            <c:strRef>
              <c:f>'8 Future'!$E$90:$F$90</c:f>
              <c:strCache>
                <c:ptCount val="2"/>
                <c:pt idx="0">
                  <c:v>Your island</c:v>
                </c:pt>
                <c:pt idx="1">
                  <c:v>Isles of Scilly</c:v>
                </c:pt>
              </c:strCache>
            </c:strRef>
          </c:cat>
          <c:val>
            <c:numRef>
              <c:f>'8 Future'!$E$91:$F$91</c:f>
              <c:numCache>
                <c:formatCode>0.0%</c:formatCode>
                <c:ptCount val="2"/>
                <c:pt idx="0">
                  <c:v>0.91836734693877553</c:v>
                </c:pt>
                <c:pt idx="1">
                  <c:v>0.94736842105263075</c:v>
                </c:pt>
              </c:numCache>
            </c:numRef>
          </c:val>
        </c:ser>
        <c:ser>
          <c:idx val="1"/>
          <c:order val="1"/>
          <c:tx>
            <c:strRef>
              <c:f>'8 Future'!$D$92</c:f>
              <c:strCache>
                <c:ptCount val="1"/>
                <c:pt idx="0">
                  <c:v>No</c:v>
                </c:pt>
              </c:strCache>
            </c:strRef>
          </c:tx>
          <c:dLbls>
            <c:txPr>
              <a:bodyPr/>
              <a:lstStyle/>
              <a:p>
                <a:pPr>
                  <a:defRPr sz="900"/>
                </a:pPr>
                <a:endParaRPr lang="en-US"/>
              </a:p>
            </c:txPr>
            <c:showVal val="1"/>
          </c:dLbls>
          <c:cat>
            <c:strRef>
              <c:f>'8 Future'!$E$90:$F$90</c:f>
              <c:strCache>
                <c:ptCount val="2"/>
                <c:pt idx="0">
                  <c:v>Your island</c:v>
                </c:pt>
                <c:pt idx="1">
                  <c:v>Isles of Scilly</c:v>
                </c:pt>
              </c:strCache>
            </c:strRef>
          </c:cat>
          <c:val>
            <c:numRef>
              <c:f>'8 Future'!$E$92:$F$92</c:f>
              <c:numCache>
                <c:formatCode>0.0%</c:formatCode>
                <c:ptCount val="2"/>
                <c:pt idx="0">
                  <c:v>8.1632653061224497E-2</c:v>
                </c:pt>
                <c:pt idx="1">
                  <c:v>5.2631578947368432E-2</c:v>
                </c:pt>
              </c:numCache>
            </c:numRef>
          </c:val>
        </c:ser>
        <c:overlap val="100"/>
        <c:axId val="211774848"/>
        <c:axId val="211785216"/>
      </c:barChart>
      <c:catAx>
        <c:axId val="211774848"/>
        <c:scaling>
          <c:orientation val="minMax"/>
        </c:scaling>
        <c:axPos val="b"/>
        <c:title>
          <c:tx>
            <c:rich>
              <a:bodyPr/>
              <a:lstStyle/>
              <a:p>
                <a:pPr>
                  <a:defRPr sz="900"/>
                </a:pPr>
                <a:r>
                  <a:rPr lang="en-US" sz="900"/>
                  <a:t>Would you support more housing on….</a:t>
                </a:r>
              </a:p>
            </c:rich>
          </c:tx>
        </c:title>
        <c:tickLblPos val="nextTo"/>
        <c:txPr>
          <a:bodyPr/>
          <a:lstStyle/>
          <a:p>
            <a:pPr>
              <a:defRPr sz="800"/>
            </a:pPr>
            <a:endParaRPr lang="en-US"/>
          </a:p>
        </c:txPr>
        <c:crossAx val="211785216"/>
        <c:crosses val="autoZero"/>
        <c:auto val="1"/>
        <c:lblAlgn val="ctr"/>
        <c:lblOffset val="100"/>
      </c:catAx>
      <c:valAx>
        <c:axId val="211785216"/>
        <c:scaling>
          <c:orientation val="minMax"/>
          <c:min val="0"/>
        </c:scaling>
        <c:axPos val="l"/>
        <c:majorGridlines/>
        <c:numFmt formatCode="0%" sourceLinked="1"/>
        <c:tickLblPos val="nextTo"/>
        <c:txPr>
          <a:bodyPr/>
          <a:lstStyle/>
          <a:p>
            <a:pPr>
              <a:defRPr sz="800"/>
            </a:pPr>
            <a:endParaRPr lang="en-US"/>
          </a:p>
        </c:txPr>
        <c:crossAx val="211774848"/>
        <c:crosses val="autoZero"/>
        <c:crossBetween val="between"/>
      </c:valAx>
    </c:plotArea>
    <c:legend>
      <c:legendPos val="b"/>
      <c:layout>
        <c:manualLayout>
          <c:xMode val="edge"/>
          <c:yMode val="edge"/>
          <c:x val="0.14867913385826798"/>
          <c:y val="0.88850503062117336"/>
          <c:w val="0.76653040244969495"/>
          <c:h val="8.3717191601049998E-2"/>
        </c:manualLayout>
      </c:layout>
      <c:txPr>
        <a:bodyPr/>
        <a:lstStyle/>
        <a:p>
          <a:pPr>
            <a:defRPr sz="900"/>
          </a:pPr>
          <a:endParaRPr lang="en-US"/>
        </a:p>
      </c:txPr>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spPr>
            <a:solidFill>
              <a:schemeClr val="accent4">
                <a:lumMod val="50000"/>
              </a:schemeClr>
            </a:solidFill>
          </c:spPr>
          <c:dLbls>
            <c:txPr>
              <a:bodyPr/>
              <a:lstStyle/>
              <a:p>
                <a:pPr>
                  <a:defRPr sz="900"/>
                </a:pPr>
                <a:endParaRPr lang="en-US"/>
              </a:p>
            </c:txPr>
            <c:showVal val="1"/>
          </c:dLbls>
          <c:cat>
            <c:strRef>
              <c:f>'8 Future'!$I$86:$M$86</c:f>
              <c:strCache>
                <c:ptCount val="5"/>
                <c:pt idx="0">
                  <c:v>New build</c:v>
                </c:pt>
                <c:pt idx="1">
                  <c:v>Conversion of existing buildings</c:v>
                </c:pt>
                <c:pt idx="2">
                  <c:v>Restricted to local needs</c:v>
                </c:pt>
                <c:pt idx="3">
                  <c:v>Key workers only</c:v>
                </c:pt>
                <c:pt idx="4">
                  <c:v>Other</c:v>
                </c:pt>
              </c:strCache>
            </c:strRef>
          </c:cat>
          <c:val>
            <c:numRef>
              <c:f>'8 Future'!$I$88:$M$88</c:f>
              <c:numCache>
                <c:formatCode>0.0%</c:formatCode>
                <c:ptCount val="5"/>
                <c:pt idx="0">
                  <c:v>0.6142857142857151</c:v>
                </c:pt>
                <c:pt idx="1">
                  <c:v>0.67142857142857315</c:v>
                </c:pt>
                <c:pt idx="2">
                  <c:v>0.54285714285714259</c:v>
                </c:pt>
                <c:pt idx="3">
                  <c:v>7.1428571428571425E-2</c:v>
                </c:pt>
                <c:pt idx="4">
                  <c:v>8.5714285714285715E-2</c:v>
                </c:pt>
              </c:numCache>
            </c:numRef>
          </c:val>
        </c:ser>
        <c:axId val="211801216"/>
        <c:axId val="211803136"/>
      </c:barChart>
      <c:catAx>
        <c:axId val="211801216"/>
        <c:scaling>
          <c:orientation val="minMax"/>
        </c:scaling>
        <c:axPos val="b"/>
        <c:title>
          <c:tx>
            <c:rich>
              <a:bodyPr/>
              <a:lstStyle/>
              <a:p>
                <a:pPr>
                  <a:defRPr/>
                </a:pPr>
                <a:r>
                  <a:rPr lang="en-US"/>
                  <a:t>What type of new housing would you like to see?</a:t>
                </a:r>
              </a:p>
            </c:rich>
          </c:tx>
        </c:title>
        <c:tickLblPos val="nextTo"/>
        <c:txPr>
          <a:bodyPr/>
          <a:lstStyle/>
          <a:p>
            <a:pPr>
              <a:defRPr sz="800"/>
            </a:pPr>
            <a:endParaRPr lang="en-US"/>
          </a:p>
        </c:txPr>
        <c:crossAx val="211803136"/>
        <c:crosses val="autoZero"/>
        <c:auto val="1"/>
        <c:lblAlgn val="ctr"/>
        <c:lblOffset val="100"/>
      </c:catAx>
      <c:valAx>
        <c:axId val="211803136"/>
        <c:scaling>
          <c:orientation val="minMax"/>
        </c:scaling>
        <c:axPos val="l"/>
        <c:majorGridlines/>
        <c:numFmt formatCode="0.0%" sourceLinked="1"/>
        <c:tickLblPos val="nextTo"/>
        <c:txPr>
          <a:bodyPr/>
          <a:lstStyle/>
          <a:p>
            <a:pPr>
              <a:defRPr sz="800"/>
            </a:pPr>
            <a:endParaRPr lang="en-US"/>
          </a:p>
        </c:txPr>
        <c:crossAx val="211801216"/>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spPr>
            <a:solidFill>
              <a:schemeClr val="accent4">
                <a:lumMod val="50000"/>
              </a:schemeClr>
            </a:solidFill>
          </c:spPr>
          <c:dLbls>
            <c:txPr>
              <a:bodyPr/>
              <a:lstStyle/>
              <a:p>
                <a:pPr>
                  <a:defRPr sz="900"/>
                </a:pPr>
                <a:endParaRPr lang="en-US"/>
              </a:p>
            </c:txPr>
            <c:showVal val="1"/>
          </c:dLbls>
          <c:cat>
            <c:strRef>
              <c:f>'8 Future'!$N$86:$S$86</c:f>
              <c:strCache>
                <c:ptCount val="6"/>
                <c:pt idx="0">
                  <c:v>Housing to rent</c:v>
                </c:pt>
                <c:pt idx="1">
                  <c:v>Housing to buy</c:v>
                </c:pt>
                <c:pt idx="2">
                  <c:v>Shared ownership properties</c:v>
                </c:pt>
                <c:pt idx="3">
                  <c:v>Self build properties</c:v>
                </c:pt>
                <c:pt idx="4">
                  <c:v>Community land trust properties </c:v>
                </c:pt>
                <c:pt idx="5">
                  <c:v>Other</c:v>
                </c:pt>
              </c:strCache>
            </c:strRef>
          </c:cat>
          <c:val>
            <c:numRef>
              <c:f>'8 Future'!$N$88:$S$88</c:f>
              <c:numCache>
                <c:formatCode>0.0%</c:formatCode>
                <c:ptCount val="6"/>
                <c:pt idx="0">
                  <c:v>0.72857142857142865</c:v>
                </c:pt>
                <c:pt idx="1">
                  <c:v>0.27142857142857191</c:v>
                </c:pt>
                <c:pt idx="2">
                  <c:v>0.28571428571428625</c:v>
                </c:pt>
                <c:pt idx="3">
                  <c:v>0.4</c:v>
                </c:pt>
                <c:pt idx="4">
                  <c:v>0.4</c:v>
                </c:pt>
                <c:pt idx="5">
                  <c:v>0.15714285714285736</c:v>
                </c:pt>
              </c:numCache>
            </c:numRef>
          </c:val>
        </c:ser>
        <c:axId val="211966208"/>
        <c:axId val="211972480"/>
      </c:barChart>
      <c:catAx>
        <c:axId val="211966208"/>
        <c:scaling>
          <c:orientation val="minMax"/>
        </c:scaling>
        <c:axPos val="b"/>
        <c:title>
          <c:tx>
            <c:rich>
              <a:bodyPr/>
              <a:lstStyle/>
              <a:p>
                <a:pPr>
                  <a:defRPr sz="900"/>
                </a:pPr>
                <a:r>
                  <a:rPr lang="en-US" sz="900"/>
                  <a:t>What sort of housing is needed in particular?</a:t>
                </a:r>
              </a:p>
            </c:rich>
          </c:tx>
        </c:title>
        <c:tickLblPos val="nextTo"/>
        <c:txPr>
          <a:bodyPr/>
          <a:lstStyle/>
          <a:p>
            <a:pPr>
              <a:defRPr sz="800"/>
            </a:pPr>
            <a:endParaRPr lang="en-US"/>
          </a:p>
        </c:txPr>
        <c:crossAx val="211972480"/>
        <c:crosses val="autoZero"/>
        <c:auto val="1"/>
        <c:lblAlgn val="ctr"/>
        <c:lblOffset val="100"/>
      </c:catAx>
      <c:valAx>
        <c:axId val="211972480"/>
        <c:scaling>
          <c:orientation val="minMax"/>
        </c:scaling>
        <c:axPos val="l"/>
        <c:majorGridlines/>
        <c:numFmt formatCode="0.0%" sourceLinked="1"/>
        <c:tickLblPos val="nextTo"/>
        <c:txPr>
          <a:bodyPr/>
          <a:lstStyle/>
          <a:p>
            <a:pPr>
              <a:defRPr sz="800"/>
            </a:pPr>
            <a:endParaRPr lang="en-US"/>
          </a:p>
        </c:txPr>
        <c:crossAx val="211966208"/>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'2 Current property'!$C$87</c:f>
              <c:strCache>
                <c:ptCount val="1"/>
                <c:pt idx="0">
                  <c:v>Number of responses</c:v>
                </c:pt>
              </c:strCache>
            </c:strRef>
          </c:tx>
          <c:spPr>
            <a:solidFill>
              <a:schemeClr val="accent4">
                <a:lumMod val="50000"/>
              </a:schemeClr>
            </a:solidFill>
          </c:spPr>
          <c:cat>
            <c:strRef>
              <c:f>'2 Current property'!$D$86:$J$86</c:f>
              <c:strCache>
                <c:ptCount val="7"/>
                <c:pt idx="0">
                  <c:v>St Mary's</c:v>
                </c:pt>
                <c:pt idx="1">
                  <c:v>Tresco</c:v>
                </c:pt>
                <c:pt idx="2">
                  <c:v>St Agnes</c:v>
                </c:pt>
                <c:pt idx="3">
                  <c:v>St Martin's</c:v>
                </c:pt>
                <c:pt idx="4">
                  <c:v>Bryher</c:v>
                </c:pt>
                <c:pt idx="5">
                  <c:v>Mainland</c:v>
                </c:pt>
                <c:pt idx="6">
                  <c:v>Other (please specify)</c:v>
                </c:pt>
              </c:strCache>
            </c:strRef>
          </c:cat>
          <c:val>
            <c:numRef>
              <c:f>'2 Current property'!$D$87:$J$87</c:f>
              <c:numCache>
                <c:formatCode>General</c:formatCode>
                <c:ptCount val="7"/>
                <c:pt idx="0">
                  <c:v>56</c:v>
                </c:pt>
                <c:pt idx="1">
                  <c:v>0</c:v>
                </c:pt>
                <c:pt idx="2">
                  <c:v>7</c:v>
                </c:pt>
                <c:pt idx="3">
                  <c:v>5</c:v>
                </c:pt>
                <c:pt idx="4">
                  <c:v>2</c:v>
                </c:pt>
                <c:pt idx="5">
                  <c:v>0</c:v>
                </c:pt>
                <c:pt idx="6">
                  <c:v>0</c:v>
                </c:pt>
              </c:numCache>
            </c:numRef>
          </c:val>
        </c:ser>
        <c:axId val="204449280"/>
        <c:axId val="204450816"/>
      </c:barChart>
      <c:lineChart>
        <c:grouping val="standard"/>
        <c:ser>
          <c:idx val="1"/>
          <c:order val="1"/>
          <c:tx>
            <c:strRef>
              <c:f>'2 Current property'!$C$88</c:f>
              <c:strCache>
                <c:ptCount val="1"/>
                <c:pt idx="0">
                  <c:v>%age of responses</c:v>
                </c:pt>
              </c:strCache>
            </c:strRef>
          </c:tx>
          <c:marker>
            <c:symbol val="square"/>
            <c:size val="3"/>
          </c:marker>
          <c:cat>
            <c:strRef>
              <c:f>'2 Current property'!$D$86:$J$86</c:f>
              <c:strCache>
                <c:ptCount val="7"/>
                <c:pt idx="0">
                  <c:v>St Mary's</c:v>
                </c:pt>
                <c:pt idx="1">
                  <c:v>Tresco</c:v>
                </c:pt>
                <c:pt idx="2">
                  <c:v>St Agnes</c:v>
                </c:pt>
                <c:pt idx="3">
                  <c:v>St Martin's</c:v>
                </c:pt>
                <c:pt idx="4">
                  <c:v>Bryher</c:v>
                </c:pt>
                <c:pt idx="5">
                  <c:v>Mainland</c:v>
                </c:pt>
                <c:pt idx="6">
                  <c:v>Other (please specify)</c:v>
                </c:pt>
              </c:strCache>
            </c:strRef>
          </c:cat>
          <c:val>
            <c:numRef>
              <c:f>'2 Current property'!$D$88:$J$88</c:f>
              <c:numCache>
                <c:formatCode>0.0%</c:formatCode>
                <c:ptCount val="7"/>
                <c:pt idx="0">
                  <c:v>0.8</c:v>
                </c:pt>
                <c:pt idx="1">
                  <c:v>0</c:v>
                </c:pt>
                <c:pt idx="2">
                  <c:v>0.1</c:v>
                </c:pt>
                <c:pt idx="3">
                  <c:v>7.1428571428571425E-2</c:v>
                </c:pt>
                <c:pt idx="4">
                  <c:v>2.8571428571428591E-2</c:v>
                </c:pt>
                <c:pt idx="5">
                  <c:v>0</c:v>
                </c:pt>
                <c:pt idx="6">
                  <c:v>0</c:v>
                </c:pt>
              </c:numCache>
            </c:numRef>
          </c:val>
        </c:ser>
        <c:marker val="1"/>
        <c:axId val="204459008"/>
        <c:axId val="204457088"/>
      </c:lineChart>
      <c:catAx>
        <c:axId val="204449280"/>
        <c:scaling>
          <c:orientation val="minMax"/>
        </c:scaling>
        <c:axPos val="b"/>
        <c:tickLblPos val="nextTo"/>
        <c:txPr>
          <a:bodyPr/>
          <a:lstStyle/>
          <a:p>
            <a:pPr>
              <a:defRPr sz="800"/>
            </a:pPr>
            <a:endParaRPr lang="en-US"/>
          </a:p>
        </c:txPr>
        <c:crossAx val="204450816"/>
        <c:crosses val="autoZero"/>
        <c:auto val="1"/>
        <c:lblAlgn val="ctr"/>
        <c:lblOffset val="100"/>
      </c:catAx>
      <c:valAx>
        <c:axId val="204450816"/>
        <c:scaling>
          <c:orientation val="minMax"/>
        </c:scaling>
        <c:axPos val="l"/>
        <c:majorGridlines/>
        <c:title>
          <c:tx>
            <c:rich>
              <a:bodyPr rot="-5400000" vert="horz"/>
              <a:lstStyle/>
              <a:p>
                <a:pPr>
                  <a:defRPr sz="900"/>
                </a:pPr>
                <a:r>
                  <a:rPr lang="en-US" sz="900"/>
                  <a:t>No. of responses</a:t>
                </a:r>
              </a:p>
            </c:rich>
          </c:tx>
        </c:title>
        <c:numFmt formatCode="General" sourceLinked="1"/>
        <c:tickLblPos val="nextTo"/>
        <c:txPr>
          <a:bodyPr/>
          <a:lstStyle/>
          <a:p>
            <a:pPr>
              <a:defRPr sz="800"/>
            </a:pPr>
            <a:endParaRPr lang="en-US"/>
          </a:p>
        </c:txPr>
        <c:crossAx val="204449280"/>
        <c:crosses val="autoZero"/>
        <c:crossBetween val="between"/>
      </c:valAx>
      <c:valAx>
        <c:axId val="204457088"/>
        <c:scaling>
          <c:orientation val="minMax"/>
        </c:scaling>
        <c:axPos val="r"/>
        <c:title>
          <c:tx>
            <c:rich>
              <a:bodyPr rot="-5400000" vert="horz"/>
              <a:lstStyle/>
              <a:p>
                <a:pPr>
                  <a:defRPr sz="900"/>
                </a:pPr>
                <a:r>
                  <a:rPr lang="en-US" sz="900"/>
                  <a:t>% of responses</a:t>
                </a:r>
              </a:p>
            </c:rich>
          </c:tx>
        </c:title>
        <c:numFmt formatCode="0.0%" sourceLinked="1"/>
        <c:tickLblPos val="nextTo"/>
        <c:txPr>
          <a:bodyPr/>
          <a:lstStyle/>
          <a:p>
            <a:pPr>
              <a:defRPr sz="800"/>
            </a:pPr>
            <a:endParaRPr lang="en-US"/>
          </a:p>
        </c:txPr>
        <c:crossAx val="204459008"/>
        <c:crosses val="max"/>
        <c:crossBetween val="between"/>
      </c:valAx>
      <c:catAx>
        <c:axId val="204459008"/>
        <c:scaling>
          <c:orientation val="minMax"/>
        </c:scaling>
        <c:delete val="1"/>
        <c:axPos val="b"/>
        <c:tickLblPos val="none"/>
        <c:crossAx val="204457088"/>
        <c:crosses val="autoZero"/>
        <c:auto val="1"/>
        <c:lblAlgn val="ctr"/>
        <c:lblOffset val="100"/>
      </c:catAx>
    </c:plotArea>
    <c:legend>
      <c:legendPos val="b"/>
      <c:txPr>
        <a:bodyPr/>
        <a:lstStyle/>
        <a:p>
          <a:pPr>
            <a:defRPr sz="900"/>
          </a:pPr>
          <a:endParaRPr lang="en-US"/>
        </a:p>
      </c:txPr>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000"/>
            </a:pPr>
            <a:r>
              <a:rPr lang="en-GB" sz="1000"/>
              <a:t>Is anyone in your household disabled?</a:t>
            </a:r>
          </a:p>
        </c:rich>
      </c:tx>
    </c:title>
    <c:plotArea>
      <c:layout/>
      <c:pieChart>
        <c:varyColors val="1"/>
        <c:ser>
          <c:idx val="0"/>
          <c:order val="0"/>
          <c:explosion val="25"/>
          <c:dPt>
            <c:idx val="0"/>
            <c:spPr>
              <a:solidFill>
                <a:schemeClr val="accent2">
                  <a:lumMod val="75000"/>
                </a:schemeClr>
              </a:solidFill>
            </c:spPr>
          </c:dPt>
          <c:dPt>
            <c:idx val="1"/>
            <c:spPr>
              <a:solidFill>
                <a:schemeClr val="accent4">
                  <a:lumMod val="50000"/>
                </a:schemeClr>
              </a:solidFill>
            </c:spPr>
          </c:dPt>
          <c:dLbls>
            <c:dLbl>
              <c:idx val="0"/>
              <c:layout>
                <c:manualLayout>
                  <c:x val="6.449912510936133E-2"/>
                  <c:y val="2.4875328083989547E-2"/>
                </c:manualLayout>
              </c:layout>
              <c:showVal val="1"/>
              <c:showCatName val="1"/>
            </c:dLbl>
            <c:dLbl>
              <c:idx val="1"/>
              <c:layout>
                <c:manualLayout>
                  <c:x val="-8.2453849518810227E-2"/>
                  <c:y val="-1.9296077573636633E-2"/>
                </c:manualLayout>
              </c:layout>
              <c:showVal val="1"/>
              <c:showCatName val="1"/>
            </c:dLbl>
            <c:txPr>
              <a:bodyPr/>
              <a:lstStyle/>
              <a:p>
                <a:pPr>
                  <a:defRPr sz="900"/>
                </a:pPr>
                <a:endParaRPr lang="en-US"/>
              </a:p>
            </c:txPr>
            <c:showVal val="1"/>
            <c:showCatName val="1"/>
            <c:showLeaderLines val="1"/>
          </c:dLbls>
          <c:cat>
            <c:strRef>
              <c:f>'2 Current property'!$FR$86:$FS$86</c:f>
              <c:strCache>
                <c:ptCount val="2"/>
                <c:pt idx="0">
                  <c:v>Yes</c:v>
                </c:pt>
                <c:pt idx="1">
                  <c:v>No</c:v>
                </c:pt>
              </c:strCache>
            </c:strRef>
          </c:cat>
          <c:val>
            <c:numRef>
              <c:f>'2 Current property'!$FR$88:$FS$88</c:f>
              <c:numCache>
                <c:formatCode>0.0%</c:formatCode>
                <c:ptCount val="2"/>
                <c:pt idx="0">
                  <c:v>7.6923076923076927E-2</c:v>
                </c:pt>
                <c:pt idx="1">
                  <c:v>0.92307692307692257</c:v>
                </c:pt>
              </c:numCache>
            </c:numRef>
          </c:val>
        </c:ser>
        <c:firstSliceAng val="0"/>
      </c:pieChart>
    </c:plotArea>
    <c:plotVisOnly val="1"/>
    <c:dispBlanksAs val="zero"/>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spPr>
            <a:solidFill>
              <a:schemeClr val="accent4">
                <a:lumMod val="50000"/>
              </a:schemeClr>
            </a:solidFill>
          </c:spPr>
          <c:dLbls>
            <c:showVal val="1"/>
          </c:dLbls>
          <c:cat>
            <c:strRef>
              <c:f>'2 Current property'!$GK$86:$GR$86</c:f>
              <c:strCache>
                <c:ptCount val="8"/>
                <c:pt idx="0">
                  <c:v>House - detached</c:v>
                </c:pt>
                <c:pt idx="1">
                  <c:v>House - semi</c:v>
                </c:pt>
                <c:pt idx="2">
                  <c:v>House - terraced</c:v>
                </c:pt>
                <c:pt idx="3">
                  <c:v>Flat</c:v>
                </c:pt>
                <c:pt idx="4">
                  <c:v>Bungalow</c:v>
                </c:pt>
                <c:pt idx="5">
                  <c:v>Bedsit</c:v>
                </c:pt>
                <c:pt idx="6">
                  <c:v>Chalet</c:v>
                </c:pt>
                <c:pt idx="7">
                  <c:v>Other</c:v>
                </c:pt>
              </c:strCache>
            </c:strRef>
          </c:cat>
          <c:val>
            <c:numRef>
              <c:f>'2 Current property'!$GK$88:$GR$88</c:f>
              <c:numCache>
                <c:formatCode>0.0%</c:formatCode>
                <c:ptCount val="8"/>
                <c:pt idx="0">
                  <c:v>0.26470588235294162</c:v>
                </c:pt>
                <c:pt idx="1">
                  <c:v>0.13235294117647084</c:v>
                </c:pt>
                <c:pt idx="2">
                  <c:v>0.16176470588235317</c:v>
                </c:pt>
                <c:pt idx="3">
                  <c:v>0.27941176470588291</c:v>
                </c:pt>
                <c:pt idx="4">
                  <c:v>0.13235294117647084</c:v>
                </c:pt>
                <c:pt idx="5">
                  <c:v>2.9411764705882353E-2</c:v>
                </c:pt>
                <c:pt idx="6">
                  <c:v>0</c:v>
                </c:pt>
                <c:pt idx="7">
                  <c:v>0</c:v>
                </c:pt>
              </c:numCache>
            </c:numRef>
          </c:val>
        </c:ser>
        <c:axId val="204756480"/>
        <c:axId val="204758016"/>
      </c:barChart>
      <c:catAx>
        <c:axId val="204756480"/>
        <c:scaling>
          <c:orientation val="minMax"/>
        </c:scaling>
        <c:axPos val="b"/>
        <c:tickLblPos val="nextTo"/>
        <c:txPr>
          <a:bodyPr/>
          <a:lstStyle/>
          <a:p>
            <a:pPr>
              <a:defRPr sz="800"/>
            </a:pPr>
            <a:endParaRPr lang="en-US"/>
          </a:p>
        </c:txPr>
        <c:crossAx val="204758016"/>
        <c:crosses val="autoZero"/>
        <c:auto val="1"/>
        <c:lblAlgn val="ctr"/>
        <c:lblOffset val="100"/>
      </c:catAx>
      <c:valAx>
        <c:axId val="204758016"/>
        <c:scaling>
          <c:orientation val="minMax"/>
        </c:scaling>
        <c:axPos val="l"/>
        <c:majorGridlines/>
        <c:title>
          <c:tx>
            <c:rich>
              <a:bodyPr rot="-5400000" vert="horz"/>
              <a:lstStyle/>
              <a:p>
                <a:pPr>
                  <a:defRPr sz="900"/>
                </a:pPr>
                <a:r>
                  <a:rPr lang="en-US" sz="900"/>
                  <a:t>% of respondents</a:t>
                </a:r>
              </a:p>
            </c:rich>
          </c:tx>
        </c:title>
        <c:numFmt formatCode="0.0%" sourceLinked="1"/>
        <c:tickLblPos val="nextTo"/>
        <c:txPr>
          <a:bodyPr/>
          <a:lstStyle/>
          <a:p>
            <a:pPr>
              <a:defRPr sz="800"/>
            </a:pPr>
            <a:endParaRPr lang="en-US"/>
          </a:p>
        </c:txPr>
        <c:crossAx val="204756480"/>
        <c:crosses val="autoZero"/>
        <c:crossBetween val="between"/>
      </c:valAx>
    </c:plotArea>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1000"/>
            </a:pPr>
            <a:r>
              <a:rPr lang="en-US" sz="1000"/>
              <a:t>Is the IOS your permantent residence (i.e. more than 10 months a year)?</a:t>
            </a:r>
          </a:p>
        </c:rich>
      </c:tx>
    </c:title>
    <c:plotArea>
      <c:layout/>
      <c:pieChart>
        <c:varyColors val="1"/>
        <c:ser>
          <c:idx val="0"/>
          <c:order val="0"/>
          <c:explosion val="25"/>
          <c:dPt>
            <c:idx val="0"/>
            <c:spPr>
              <a:solidFill>
                <a:schemeClr val="accent4">
                  <a:lumMod val="50000"/>
                </a:schemeClr>
              </a:solidFill>
            </c:spPr>
          </c:dPt>
          <c:dLbls>
            <c:dLbl>
              <c:idx val="0"/>
              <c:layout>
                <c:manualLayout>
                  <c:x val="0.16531321084864392"/>
                  <c:y val="-6.101013414989799E-2"/>
                </c:manualLayout>
              </c:layout>
              <c:showVal val="1"/>
              <c:showCatName val="1"/>
            </c:dLbl>
            <c:dLbl>
              <c:idx val="1"/>
              <c:layout>
                <c:manualLayout>
                  <c:x val="-0.10361832895888019"/>
                  <c:y val="4.3441236512102653E-2"/>
                </c:manualLayout>
              </c:layout>
              <c:showVal val="1"/>
              <c:showCatName val="1"/>
            </c:dLbl>
            <c:txPr>
              <a:bodyPr/>
              <a:lstStyle/>
              <a:p>
                <a:pPr>
                  <a:defRPr sz="900"/>
                </a:pPr>
                <a:endParaRPr lang="en-US"/>
              </a:p>
            </c:txPr>
            <c:showVal val="1"/>
            <c:showCatName val="1"/>
            <c:showLeaderLines val="1"/>
          </c:dLbls>
          <c:cat>
            <c:strRef>
              <c:f>'3 Ownership'!$L$86:$M$86</c:f>
              <c:strCache>
                <c:ptCount val="2"/>
                <c:pt idx="0">
                  <c:v>Yes</c:v>
                </c:pt>
                <c:pt idx="1">
                  <c:v>No</c:v>
                </c:pt>
              </c:strCache>
            </c:strRef>
          </c:cat>
          <c:val>
            <c:numRef>
              <c:f>'3 Ownership'!$L$88:$M$88</c:f>
              <c:numCache>
                <c:formatCode>0.0%</c:formatCode>
                <c:ptCount val="2"/>
                <c:pt idx="0">
                  <c:v>0.95161290322580661</c:v>
                </c:pt>
                <c:pt idx="1">
                  <c:v>4.8387096774193554E-2</c:v>
                </c:pt>
              </c:numCache>
            </c:numRef>
          </c:val>
        </c:ser>
        <c:firstSliceAng val="0"/>
      </c:pieChart>
    </c:plotArea>
    <c:plotVisOnly val="1"/>
    <c:dispBlanksAs val="zero"/>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percentStacked"/>
        <c:ser>
          <c:idx val="0"/>
          <c:order val="0"/>
          <c:tx>
            <c:strRef>
              <c:f>'3 Ownership'!$O$91</c:f>
              <c:strCache>
                <c:ptCount val="1"/>
                <c:pt idx="0">
                  <c:v>Less than one year</c:v>
                </c:pt>
              </c:strCache>
            </c:strRef>
          </c:tx>
          <c:spPr>
            <a:solidFill>
              <a:schemeClr val="accent3">
                <a:lumMod val="50000"/>
              </a:schemeClr>
            </a:solidFill>
          </c:spPr>
          <c:dLbls>
            <c:txPr>
              <a:bodyPr/>
              <a:lstStyle/>
              <a:p>
                <a:pPr>
                  <a:defRPr sz="900"/>
                </a:pPr>
                <a:endParaRPr lang="en-US"/>
              </a:p>
            </c:txPr>
            <c:showVal val="1"/>
          </c:dLbls>
          <c:cat>
            <c:strRef>
              <c:f>'3 Ownership'!$P$90:$R$90</c:f>
              <c:strCache>
                <c:ptCount val="3"/>
                <c:pt idx="0">
                  <c:v>On the IOS</c:v>
                </c:pt>
                <c:pt idx="1">
                  <c:v>On this island</c:v>
                </c:pt>
                <c:pt idx="2">
                  <c:v>In current accomodation</c:v>
                </c:pt>
              </c:strCache>
            </c:strRef>
          </c:cat>
          <c:val>
            <c:numRef>
              <c:f>'3 Ownership'!$P$91:$R$91</c:f>
              <c:numCache>
                <c:formatCode>0.0%</c:formatCode>
                <c:ptCount val="3"/>
                <c:pt idx="0">
                  <c:v>3.125E-2</c:v>
                </c:pt>
                <c:pt idx="1">
                  <c:v>3.1746031746031744E-2</c:v>
                </c:pt>
                <c:pt idx="2">
                  <c:v>0.13114754098360637</c:v>
                </c:pt>
              </c:numCache>
            </c:numRef>
          </c:val>
        </c:ser>
        <c:ser>
          <c:idx val="1"/>
          <c:order val="1"/>
          <c:tx>
            <c:strRef>
              <c:f>'3 Ownership'!$O$92</c:f>
              <c:strCache>
                <c:ptCount val="1"/>
                <c:pt idx="0">
                  <c:v>1 - 3 years</c:v>
                </c:pt>
              </c:strCache>
            </c:strRef>
          </c:tx>
          <c:dLbls>
            <c:txPr>
              <a:bodyPr/>
              <a:lstStyle/>
              <a:p>
                <a:pPr>
                  <a:defRPr sz="900"/>
                </a:pPr>
                <a:endParaRPr lang="en-US"/>
              </a:p>
            </c:txPr>
            <c:showVal val="1"/>
          </c:dLbls>
          <c:cat>
            <c:strRef>
              <c:f>'3 Ownership'!$P$90:$R$90</c:f>
              <c:strCache>
                <c:ptCount val="3"/>
                <c:pt idx="0">
                  <c:v>On the IOS</c:v>
                </c:pt>
                <c:pt idx="1">
                  <c:v>On this island</c:v>
                </c:pt>
                <c:pt idx="2">
                  <c:v>In current accomodation</c:v>
                </c:pt>
              </c:strCache>
            </c:strRef>
          </c:cat>
          <c:val>
            <c:numRef>
              <c:f>'3 Ownership'!$P$92:$R$92</c:f>
              <c:numCache>
                <c:formatCode>0.0%</c:formatCode>
                <c:ptCount val="3"/>
                <c:pt idx="0">
                  <c:v>0.1093750000000001</c:v>
                </c:pt>
                <c:pt idx="1">
                  <c:v>9.5238095238095247E-2</c:v>
                </c:pt>
                <c:pt idx="2">
                  <c:v>0.22950819672131173</c:v>
                </c:pt>
              </c:numCache>
            </c:numRef>
          </c:val>
        </c:ser>
        <c:ser>
          <c:idx val="2"/>
          <c:order val="2"/>
          <c:tx>
            <c:strRef>
              <c:f>'3 Ownership'!$O$93</c:f>
              <c:strCache>
                <c:ptCount val="1"/>
                <c:pt idx="0">
                  <c:v>3 - 10 years</c:v>
                </c:pt>
              </c:strCache>
            </c:strRef>
          </c:tx>
          <c:spPr>
            <a:solidFill>
              <a:schemeClr val="accent4">
                <a:lumMod val="20000"/>
                <a:lumOff val="80000"/>
              </a:schemeClr>
            </a:solidFill>
          </c:spPr>
          <c:dLbls>
            <c:txPr>
              <a:bodyPr/>
              <a:lstStyle/>
              <a:p>
                <a:pPr>
                  <a:defRPr sz="900"/>
                </a:pPr>
                <a:endParaRPr lang="en-US"/>
              </a:p>
            </c:txPr>
            <c:showVal val="1"/>
          </c:dLbls>
          <c:cat>
            <c:strRef>
              <c:f>'3 Ownership'!$P$90:$R$90</c:f>
              <c:strCache>
                <c:ptCount val="3"/>
                <c:pt idx="0">
                  <c:v>On the IOS</c:v>
                </c:pt>
                <c:pt idx="1">
                  <c:v>On this island</c:v>
                </c:pt>
                <c:pt idx="2">
                  <c:v>In current accomodation</c:v>
                </c:pt>
              </c:strCache>
            </c:strRef>
          </c:cat>
          <c:val>
            <c:numRef>
              <c:f>'3 Ownership'!$P$93:$R$93</c:f>
              <c:numCache>
                <c:formatCode>0.0%</c:formatCode>
                <c:ptCount val="3"/>
                <c:pt idx="0">
                  <c:v>0.171875</c:v>
                </c:pt>
                <c:pt idx="1">
                  <c:v>0.19047619047619083</c:v>
                </c:pt>
                <c:pt idx="2">
                  <c:v>0.36065573770491832</c:v>
                </c:pt>
              </c:numCache>
            </c:numRef>
          </c:val>
        </c:ser>
        <c:ser>
          <c:idx val="3"/>
          <c:order val="3"/>
          <c:tx>
            <c:strRef>
              <c:f>'3 Ownership'!$O$94</c:f>
              <c:strCache>
                <c:ptCount val="1"/>
                <c:pt idx="0">
                  <c:v>10+ years</c:v>
                </c:pt>
              </c:strCache>
            </c:strRef>
          </c:tx>
          <c:spPr>
            <a:solidFill>
              <a:schemeClr val="accent4">
                <a:lumMod val="50000"/>
              </a:schemeClr>
            </a:solidFill>
          </c:spPr>
          <c:dLbls>
            <c:txPr>
              <a:bodyPr/>
              <a:lstStyle/>
              <a:p>
                <a:pPr>
                  <a:defRPr sz="900">
                    <a:solidFill>
                      <a:schemeClr val="bg1"/>
                    </a:solidFill>
                  </a:defRPr>
                </a:pPr>
                <a:endParaRPr lang="en-US"/>
              </a:p>
            </c:txPr>
            <c:showVal val="1"/>
          </c:dLbls>
          <c:cat>
            <c:strRef>
              <c:f>'3 Ownership'!$P$90:$R$90</c:f>
              <c:strCache>
                <c:ptCount val="3"/>
                <c:pt idx="0">
                  <c:v>On the IOS</c:v>
                </c:pt>
                <c:pt idx="1">
                  <c:v>On this island</c:v>
                </c:pt>
                <c:pt idx="2">
                  <c:v>In current accomodation</c:v>
                </c:pt>
              </c:strCache>
            </c:strRef>
          </c:cat>
          <c:val>
            <c:numRef>
              <c:f>'3 Ownership'!$P$94:$R$94</c:f>
              <c:numCache>
                <c:formatCode>0.0%</c:formatCode>
                <c:ptCount val="3"/>
                <c:pt idx="0">
                  <c:v>0.6875</c:v>
                </c:pt>
                <c:pt idx="1">
                  <c:v>0.68253968253968345</c:v>
                </c:pt>
                <c:pt idx="2">
                  <c:v>0.27868852459016391</c:v>
                </c:pt>
              </c:numCache>
            </c:numRef>
          </c:val>
        </c:ser>
        <c:overlap val="100"/>
        <c:axId val="205116160"/>
        <c:axId val="205118080"/>
      </c:barChart>
      <c:catAx>
        <c:axId val="205116160"/>
        <c:scaling>
          <c:orientation val="minMax"/>
        </c:scaling>
        <c:axPos val="b"/>
        <c:title>
          <c:tx>
            <c:rich>
              <a:bodyPr/>
              <a:lstStyle/>
              <a:p>
                <a:pPr>
                  <a:defRPr sz="900"/>
                </a:pPr>
                <a:r>
                  <a:rPr lang="en-US" sz="900"/>
                  <a:t>How long have you lived….</a:t>
                </a:r>
              </a:p>
            </c:rich>
          </c:tx>
        </c:title>
        <c:tickLblPos val="nextTo"/>
        <c:txPr>
          <a:bodyPr/>
          <a:lstStyle/>
          <a:p>
            <a:pPr>
              <a:defRPr sz="800"/>
            </a:pPr>
            <a:endParaRPr lang="en-US"/>
          </a:p>
        </c:txPr>
        <c:crossAx val="205118080"/>
        <c:crosses val="autoZero"/>
        <c:auto val="1"/>
        <c:lblAlgn val="ctr"/>
        <c:lblOffset val="100"/>
      </c:catAx>
      <c:valAx>
        <c:axId val="205118080"/>
        <c:scaling>
          <c:orientation val="minMax"/>
        </c:scaling>
        <c:axPos val="l"/>
        <c:majorGridlines/>
        <c:numFmt formatCode="0%" sourceLinked="1"/>
        <c:tickLblPos val="nextTo"/>
        <c:txPr>
          <a:bodyPr/>
          <a:lstStyle/>
          <a:p>
            <a:pPr>
              <a:defRPr sz="800"/>
            </a:pPr>
            <a:endParaRPr lang="en-US"/>
          </a:p>
        </c:txPr>
        <c:crossAx val="205116160"/>
        <c:crosses val="autoZero"/>
        <c:crossBetween val="between"/>
      </c:valAx>
    </c:plotArea>
    <c:legend>
      <c:legendPos val="b"/>
      <c:txPr>
        <a:bodyPr/>
        <a:lstStyle/>
        <a:p>
          <a:pPr>
            <a:defRPr sz="900"/>
          </a:pPr>
          <a:endParaRPr lang="en-US"/>
        </a:p>
      </c:txPr>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1000"/>
            </a:pPr>
            <a:r>
              <a:rPr lang="en-US" sz="1000"/>
              <a:t>Is your current accommodation satisfactory?</a:t>
            </a:r>
          </a:p>
        </c:rich>
      </c:tx>
    </c:title>
    <c:plotArea>
      <c:layout/>
      <c:pieChart>
        <c:varyColors val="1"/>
        <c:ser>
          <c:idx val="0"/>
          <c:order val="0"/>
          <c:explosion val="25"/>
          <c:dPt>
            <c:idx val="0"/>
            <c:spPr>
              <a:solidFill>
                <a:schemeClr val="accent4">
                  <a:lumMod val="50000"/>
                </a:schemeClr>
              </a:solidFill>
            </c:spPr>
          </c:dPt>
          <c:dLbls>
            <c:dLbl>
              <c:idx val="0"/>
              <c:layout>
                <c:manualLayout>
                  <c:x val="8.3256780402449768E-4"/>
                  <c:y val="6.8327865266841689E-2"/>
                </c:manualLayout>
              </c:layout>
              <c:showVal val="1"/>
              <c:showCatName val="1"/>
            </c:dLbl>
            <c:dLbl>
              <c:idx val="1"/>
              <c:layout>
                <c:manualLayout>
                  <c:x val="-1.6806430446194245E-2"/>
                  <c:y val="4.2783610382035688E-2"/>
                </c:manualLayout>
              </c:layout>
              <c:showVal val="1"/>
              <c:showCatName val="1"/>
            </c:dLbl>
            <c:txPr>
              <a:bodyPr/>
              <a:lstStyle/>
              <a:p>
                <a:pPr>
                  <a:defRPr sz="900"/>
                </a:pPr>
                <a:endParaRPr lang="en-US"/>
              </a:p>
            </c:txPr>
            <c:showVal val="1"/>
            <c:showCatName val="1"/>
            <c:showLeaderLines val="1"/>
          </c:dLbls>
          <c:cat>
            <c:strRef>
              <c:f>'4 HN - Satisfaction'!$D$86:$E$86</c:f>
              <c:strCache>
                <c:ptCount val="2"/>
                <c:pt idx="0">
                  <c:v>Yes</c:v>
                </c:pt>
                <c:pt idx="1">
                  <c:v>No</c:v>
                </c:pt>
              </c:strCache>
            </c:strRef>
          </c:cat>
          <c:val>
            <c:numRef>
              <c:f>'4 HN - Satisfaction'!$D$88:$E$88</c:f>
              <c:numCache>
                <c:formatCode>0.0%</c:formatCode>
                <c:ptCount val="2"/>
                <c:pt idx="0">
                  <c:v>0.59649122807017563</c:v>
                </c:pt>
                <c:pt idx="1">
                  <c:v>0.40350877192982559</c:v>
                </c:pt>
              </c:numCache>
            </c:numRef>
          </c:val>
        </c:ser>
        <c:firstSliceAng val="0"/>
      </c:pieChart>
    </c:plotArea>
    <c:plotVisOnly val="1"/>
    <c:dispBlanksAs val="zero"/>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percentStacked"/>
        <c:ser>
          <c:idx val="0"/>
          <c:order val="0"/>
          <c:tx>
            <c:strRef>
              <c:f>Sheet1!$Z$8</c:f>
              <c:strCache>
                <c:ptCount val="1"/>
                <c:pt idx="0">
                  <c:v>Yes</c:v>
                </c:pt>
              </c:strCache>
            </c:strRef>
          </c:tx>
          <c:spPr>
            <a:solidFill>
              <a:schemeClr val="accent4">
                <a:lumMod val="50000"/>
              </a:schemeClr>
            </a:solidFill>
          </c:spPr>
          <c:dLbls>
            <c:dLbl>
              <c:idx val="4"/>
              <c:spPr/>
              <c:txPr>
                <a:bodyPr/>
                <a:lstStyle/>
                <a:p>
                  <a:pPr>
                    <a:defRPr sz="900">
                      <a:solidFill>
                        <a:schemeClr val="tx1"/>
                      </a:solidFill>
                    </a:defRPr>
                  </a:pPr>
                  <a:endParaRPr lang="en-US"/>
                </a:p>
              </c:txPr>
            </c:dLbl>
            <c:dLbl>
              <c:idx val="5"/>
              <c:spPr/>
              <c:txPr>
                <a:bodyPr/>
                <a:lstStyle/>
                <a:p>
                  <a:pPr>
                    <a:defRPr sz="900">
                      <a:solidFill>
                        <a:schemeClr val="tx1"/>
                      </a:solidFill>
                    </a:defRPr>
                  </a:pPr>
                  <a:endParaRPr lang="en-US"/>
                </a:p>
              </c:txPr>
            </c:dLbl>
            <c:txPr>
              <a:bodyPr/>
              <a:lstStyle/>
              <a:p>
                <a:pPr>
                  <a:defRPr sz="900">
                    <a:solidFill>
                      <a:schemeClr val="bg1"/>
                    </a:solidFill>
                  </a:defRPr>
                </a:pPr>
                <a:endParaRPr lang="en-US"/>
              </a:p>
            </c:txPr>
            <c:showVal val="1"/>
          </c:dLbls>
          <c:cat>
            <c:strRef>
              <c:f>Sheet1!$V$9:$V$14</c:f>
              <c:strCache>
                <c:ptCount val="6"/>
                <c:pt idx="0">
                  <c:v>St Mary's</c:v>
                </c:pt>
                <c:pt idx="1">
                  <c:v>Tresco</c:v>
                </c:pt>
                <c:pt idx="2">
                  <c:v>St Agnes</c:v>
                </c:pt>
                <c:pt idx="3">
                  <c:v>St Martin's</c:v>
                </c:pt>
                <c:pt idx="4">
                  <c:v>Bryher</c:v>
                </c:pt>
                <c:pt idx="5">
                  <c:v>Mainland</c:v>
                </c:pt>
              </c:strCache>
            </c:strRef>
          </c:cat>
          <c:val>
            <c:numRef>
              <c:f>Sheet1!$Z$9:$Z$14</c:f>
              <c:numCache>
                <c:formatCode>0.0%</c:formatCode>
                <c:ptCount val="6"/>
                <c:pt idx="0">
                  <c:v>0.64444444444444549</c:v>
                </c:pt>
                <c:pt idx="1">
                  <c:v>0</c:v>
                </c:pt>
                <c:pt idx="2">
                  <c:v>0.5</c:v>
                </c:pt>
                <c:pt idx="3">
                  <c:v>0.5</c:v>
                </c:pt>
                <c:pt idx="4">
                  <c:v>0</c:v>
                </c:pt>
                <c:pt idx="5">
                  <c:v>0</c:v>
                </c:pt>
              </c:numCache>
            </c:numRef>
          </c:val>
        </c:ser>
        <c:ser>
          <c:idx val="1"/>
          <c:order val="1"/>
          <c:tx>
            <c:strRef>
              <c:f>Sheet1!$AA$8</c:f>
              <c:strCache>
                <c:ptCount val="1"/>
                <c:pt idx="0">
                  <c:v>No</c:v>
                </c:pt>
              </c:strCache>
            </c:strRef>
          </c:tx>
          <c:dLbls>
            <c:dLbl>
              <c:idx val="1"/>
              <c:delete val="1"/>
            </c:dLbl>
            <c:dLbl>
              <c:idx val="5"/>
              <c:delete val="1"/>
            </c:dLbl>
            <c:txPr>
              <a:bodyPr/>
              <a:lstStyle/>
              <a:p>
                <a:pPr>
                  <a:defRPr sz="900"/>
                </a:pPr>
                <a:endParaRPr lang="en-US"/>
              </a:p>
            </c:txPr>
            <c:showVal val="1"/>
          </c:dLbls>
          <c:cat>
            <c:strRef>
              <c:f>Sheet1!$V$9:$V$14</c:f>
              <c:strCache>
                <c:ptCount val="6"/>
                <c:pt idx="0">
                  <c:v>St Mary's</c:v>
                </c:pt>
                <c:pt idx="1">
                  <c:v>Tresco</c:v>
                </c:pt>
                <c:pt idx="2">
                  <c:v>St Agnes</c:v>
                </c:pt>
                <c:pt idx="3">
                  <c:v>St Martin's</c:v>
                </c:pt>
                <c:pt idx="4">
                  <c:v>Bryher</c:v>
                </c:pt>
                <c:pt idx="5">
                  <c:v>Mainland</c:v>
                </c:pt>
              </c:strCache>
            </c:strRef>
          </c:cat>
          <c:val>
            <c:numRef>
              <c:f>Sheet1!$AA$9:$AA$14</c:f>
              <c:numCache>
                <c:formatCode>0.0%</c:formatCode>
                <c:ptCount val="6"/>
                <c:pt idx="0">
                  <c:v>0.35555555555555557</c:v>
                </c:pt>
                <c:pt idx="1">
                  <c:v>0</c:v>
                </c:pt>
                <c:pt idx="2">
                  <c:v>0.5</c:v>
                </c:pt>
                <c:pt idx="3">
                  <c:v>0.5</c:v>
                </c:pt>
                <c:pt idx="4">
                  <c:v>1</c:v>
                </c:pt>
                <c:pt idx="5">
                  <c:v>0</c:v>
                </c:pt>
              </c:numCache>
            </c:numRef>
          </c:val>
        </c:ser>
        <c:gapWidth val="95"/>
        <c:overlap val="100"/>
        <c:axId val="205190656"/>
        <c:axId val="205192192"/>
      </c:barChart>
      <c:catAx>
        <c:axId val="205190656"/>
        <c:scaling>
          <c:orientation val="minMax"/>
        </c:scaling>
        <c:axPos val="b"/>
        <c:tickLblPos val="nextTo"/>
        <c:txPr>
          <a:bodyPr/>
          <a:lstStyle/>
          <a:p>
            <a:pPr>
              <a:defRPr sz="900"/>
            </a:pPr>
            <a:endParaRPr lang="en-US"/>
          </a:p>
        </c:txPr>
        <c:crossAx val="205192192"/>
        <c:crosses val="autoZero"/>
        <c:auto val="1"/>
        <c:lblAlgn val="ctr"/>
        <c:lblOffset val="100"/>
      </c:catAx>
      <c:valAx>
        <c:axId val="205192192"/>
        <c:scaling>
          <c:orientation val="minMax"/>
        </c:scaling>
        <c:axPos val="l"/>
        <c:majorGridlines/>
        <c:numFmt formatCode="0%" sourceLinked="1"/>
        <c:tickLblPos val="nextTo"/>
        <c:txPr>
          <a:bodyPr/>
          <a:lstStyle/>
          <a:p>
            <a:pPr>
              <a:defRPr sz="900"/>
            </a:pPr>
            <a:endParaRPr lang="en-US"/>
          </a:p>
        </c:txPr>
        <c:crossAx val="205190656"/>
        <c:crosses val="autoZero"/>
        <c:crossBetween val="between"/>
      </c:valAx>
    </c:plotArea>
    <c:legend>
      <c:legendPos val="b"/>
      <c:layout>
        <c:manualLayout>
          <c:xMode val="edge"/>
          <c:yMode val="edge"/>
          <c:x val="0.19979177602799669"/>
          <c:y val="0.8932257946923301"/>
          <c:w val="0.55041644794400657"/>
          <c:h val="7.8996427529892194E-2"/>
        </c:manualLayout>
      </c:layout>
    </c:legend>
    <c:plotVisOnly val="1"/>
    <c:dispBlanksAs val="gap"/>
  </c:chart>
  <c:spPr>
    <a:ln>
      <a:solidFill>
        <a:schemeClr val="accent4">
          <a:lumMod val="50000"/>
        </a:schemeClr>
      </a:solidFill>
    </a:ln>
  </c:spPr>
  <c:txPr>
    <a:bodyPr/>
    <a:lstStyle/>
    <a:p>
      <a:pPr>
        <a:defRPr>
          <a:latin typeface="Arial" pitchFamily="34" charset="0"/>
          <a:cs typeface="Arial"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DDC12-B9A2-47D7-93B5-58F09159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Appleby</dc:creator>
  <cp:lastModifiedBy>lisaw</cp:lastModifiedBy>
  <cp:revision>2</cp:revision>
  <dcterms:created xsi:type="dcterms:W3CDTF">2014-10-02T13:56:00Z</dcterms:created>
  <dcterms:modified xsi:type="dcterms:W3CDTF">2014-10-02T13:56:00Z</dcterms:modified>
</cp:coreProperties>
</file>