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4F2" w:rsidRPr="007434F2" w:rsidRDefault="007434F2" w:rsidP="004B6B2E">
      <w:pPr>
        <w:pStyle w:val="NoSpacing"/>
        <w:rPr>
          <w:sz w:val="4"/>
          <w:szCs w:val="4"/>
          <w:lang w:val="en-US"/>
        </w:rPr>
      </w:pPr>
    </w:p>
    <w:p w:rsidR="0068073B" w:rsidRDefault="0068073B" w:rsidP="00812A90">
      <w:pPr>
        <w:pStyle w:val="NoSpacing"/>
        <w:rPr>
          <w:rFonts w:ascii="Arial" w:hAnsi="Arial" w:cs="Arial"/>
          <w:b/>
          <w:lang w:val="en-US"/>
        </w:rPr>
      </w:pPr>
    </w:p>
    <w:p w:rsidR="00FB105E" w:rsidRPr="00E9095A" w:rsidRDefault="00FB105E" w:rsidP="00FB105E">
      <w:pPr>
        <w:autoSpaceDE w:val="0"/>
        <w:autoSpaceDN w:val="0"/>
        <w:spacing w:after="0" w:line="240" w:lineRule="auto"/>
        <w:jc w:val="center"/>
        <w:rPr>
          <w:rFonts w:cs="Arial"/>
          <w:b/>
          <w:bCs/>
          <w:color w:val="000000"/>
          <w:lang w:eastAsia="en-GB"/>
        </w:rPr>
      </w:pPr>
      <w:r w:rsidRPr="00E9095A">
        <w:rPr>
          <w:rFonts w:cs="Arial"/>
          <w:b/>
          <w:bCs/>
          <w:color w:val="000000"/>
          <w:lang w:eastAsia="en-GB"/>
        </w:rPr>
        <w:t>OFFICER REPORT – DELEGATED</w:t>
      </w:r>
    </w:p>
    <w:p w:rsidR="00FB105E" w:rsidRPr="00E9095A" w:rsidRDefault="00FB105E" w:rsidP="00FB105E">
      <w:pPr>
        <w:autoSpaceDE w:val="0"/>
        <w:autoSpaceDN w:val="0"/>
        <w:spacing w:after="0" w:line="240" w:lineRule="auto"/>
        <w:jc w:val="center"/>
        <w:rPr>
          <w:rFonts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563"/>
      </w:tblGrid>
      <w:tr w:rsidR="00FB105E" w:rsidRPr="00E9095A" w:rsidTr="00894850">
        <w:tc>
          <w:tcPr>
            <w:tcW w:w="4788" w:type="dxa"/>
            <w:shd w:val="pct25" w:color="000000" w:fill="FFFFFF"/>
            <w:vAlign w:val="center"/>
          </w:tcPr>
          <w:p w:rsidR="00FB105E" w:rsidRPr="00E9095A" w:rsidRDefault="00FB105E" w:rsidP="00894850">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Application number: P/16/01</w:t>
            </w:r>
            <w:r w:rsidR="00894850">
              <w:rPr>
                <w:rFonts w:cs="Arial"/>
                <w:b/>
                <w:bCs/>
                <w:color w:val="000000"/>
                <w:sz w:val="18"/>
                <w:szCs w:val="18"/>
                <w:lang w:eastAsia="en-GB"/>
              </w:rPr>
              <w:t>7/LBC</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Expiry date:</w:t>
            </w:r>
            <w:r w:rsidRPr="00E9095A">
              <w:rPr>
                <w:rFonts w:cs="Arial"/>
                <w:b/>
                <w:bCs/>
                <w:color w:val="000000"/>
                <w:sz w:val="18"/>
                <w:szCs w:val="18"/>
                <w:lang w:eastAsia="en-GB"/>
              </w:rPr>
              <w:tab/>
              <w:t>3 May 2016</w:t>
            </w:r>
          </w:p>
        </w:tc>
      </w:tr>
      <w:tr w:rsidR="00FB105E" w:rsidRPr="00E9095A" w:rsidTr="00894850">
        <w:tc>
          <w:tcPr>
            <w:tcW w:w="4788" w:type="dxa"/>
            <w:shd w:val="pct25" w:color="000000" w:fill="FFFFFF"/>
            <w:vAlign w:val="center"/>
          </w:tcPr>
          <w:p w:rsidR="00FB105E" w:rsidRPr="00E9095A" w:rsidRDefault="00FB105E" w:rsidP="00CB71C4">
            <w:pPr>
              <w:tabs>
                <w:tab w:val="left" w:pos="1620"/>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Received on:</w:t>
            </w:r>
            <w:r w:rsidRPr="00E9095A">
              <w:rPr>
                <w:rFonts w:cs="Arial"/>
                <w:b/>
                <w:bCs/>
                <w:color w:val="000000"/>
                <w:sz w:val="18"/>
                <w:szCs w:val="18"/>
                <w:lang w:eastAsia="en-GB"/>
              </w:rPr>
              <w:tab/>
            </w:r>
            <w:r w:rsidRPr="00E9095A">
              <w:rPr>
                <w:rFonts w:cs="Arial"/>
                <w:b/>
                <w:color w:val="000000"/>
                <w:sz w:val="18"/>
                <w:szCs w:val="18"/>
                <w:lang w:eastAsia="en-GB"/>
              </w:rPr>
              <w:t>19 February 2016</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Neighbour expiry date:</w:t>
            </w:r>
            <w:r w:rsidRPr="00E9095A">
              <w:rPr>
                <w:rFonts w:cs="Arial"/>
                <w:b/>
                <w:bCs/>
                <w:color w:val="000000"/>
                <w:sz w:val="18"/>
                <w:szCs w:val="18"/>
                <w:lang w:eastAsia="en-GB"/>
              </w:rPr>
              <w:tab/>
              <w:t xml:space="preserve"> 30 March 2016</w:t>
            </w:r>
          </w:p>
        </w:tc>
      </w:tr>
      <w:tr w:rsidR="00FB105E" w:rsidRPr="00E9095A" w:rsidTr="00894850">
        <w:tc>
          <w:tcPr>
            <w:tcW w:w="4788" w:type="dxa"/>
            <w:shd w:val="pct25" w:color="000000" w:fill="FFFFFF"/>
            <w:vAlign w:val="center"/>
          </w:tcPr>
          <w:p w:rsidR="00FB105E" w:rsidRPr="00E9095A" w:rsidRDefault="00FB105E" w:rsidP="00CB71C4">
            <w:pPr>
              <w:tabs>
                <w:tab w:val="left" w:pos="1125"/>
              </w:tabs>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UPRN: </w:t>
            </w:r>
            <w:r w:rsidRPr="00E9095A">
              <w:rPr>
                <w:rFonts w:cs="Arial"/>
                <w:b/>
                <w:bCs/>
                <w:color w:val="000000"/>
                <w:sz w:val="18"/>
                <w:szCs w:val="18"/>
                <w:lang w:eastAsia="en-GB"/>
              </w:rPr>
              <w:tab/>
              <w:t>000192000776</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Consultation expiry date:</w:t>
            </w:r>
            <w:r w:rsidRPr="00E9095A">
              <w:rPr>
                <w:rFonts w:cs="Arial"/>
                <w:b/>
                <w:bCs/>
                <w:color w:val="000000"/>
                <w:sz w:val="18"/>
                <w:szCs w:val="18"/>
                <w:lang w:eastAsia="en-GB"/>
              </w:rPr>
              <w:tab/>
            </w:r>
          </w:p>
        </w:tc>
      </w:tr>
      <w:tr w:rsidR="00FB105E" w:rsidRPr="00E9095A" w:rsidTr="00894850">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Legal agreement:  </w:t>
            </w:r>
            <w:r w:rsidR="000A16D7">
              <w:rPr>
                <w:rFonts w:cs="Arial"/>
                <w:b/>
                <w:bCs/>
                <w:color w:val="000000"/>
                <w:sz w:val="18"/>
                <w:szCs w:val="18"/>
                <w:lang w:eastAsia="en-GB"/>
              </w:rPr>
              <w:t>n</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posted:</w:t>
            </w:r>
            <w:r w:rsidRPr="00E9095A">
              <w:rPr>
                <w:rFonts w:cs="Arial"/>
                <w:b/>
                <w:bCs/>
                <w:color w:val="000000"/>
                <w:sz w:val="18"/>
                <w:szCs w:val="18"/>
                <w:lang w:eastAsia="en-GB"/>
              </w:rPr>
              <w:tab/>
            </w:r>
            <w:r w:rsidRPr="00E9095A">
              <w:rPr>
                <w:rFonts w:cs="Arial"/>
                <w:b/>
                <w:color w:val="000000"/>
                <w:sz w:val="18"/>
                <w:szCs w:val="18"/>
                <w:lang w:eastAsia="en-GB"/>
              </w:rPr>
              <w:t>9 March 2016</w:t>
            </w:r>
          </w:p>
        </w:tc>
      </w:tr>
      <w:tr w:rsidR="00FB105E" w:rsidRPr="00E9095A" w:rsidTr="00894850">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Departure:  </w:t>
            </w:r>
            <w:r w:rsidR="000A16D7">
              <w:rPr>
                <w:rFonts w:cs="Arial"/>
                <w:b/>
                <w:bCs/>
                <w:color w:val="000000"/>
                <w:sz w:val="18"/>
                <w:szCs w:val="18"/>
                <w:lang w:eastAsia="en-GB"/>
              </w:rPr>
              <w:t>n</w:t>
            </w:r>
          </w:p>
        </w:tc>
        <w:tc>
          <w:tcPr>
            <w:tcW w:w="4563" w:type="dxa"/>
            <w:shd w:val="pct25" w:color="auto" w:fill="auto"/>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Site notice expiry:</w:t>
            </w:r>
            <w:r w:rsidRPr="00E9095A">
              <w:rPr>
                <w:rFonts w:cs="Arial"/>
                <w:b/>
                <w:bCs/>
                <w:color w:val="000000"/>
                <w:sz w:val="18"/>
                <w:szCs w:val="18"/>
                <w:lang w:eastAsia="en-GB"/>
              </w:rPr>
              <w:tab/>
            </w:r>
            <w:r w:rsidRPr="00E9095A">
              <w:rPr>
                <w:rFonts w:cs="Arial"/>
                <w:b/>
                <w:color w:val="000000"/>
                <w:sz w:val="18"/>
                <w:szCs w:val="18"/>
                <w:lang w:eastAsia="en-GB"/>
              </w:rPr>
              <w:t>30 March 2016</w:t>
            </w:r>
          </w:p>
        </w:tc>
      </w:tr>
      <w:tr w:rsidR="00FB105E" w:rsidRPr="00E9095A" w:rsidTr="00894850">
        <w:tc>
          <w:tcPr>
            <w:tcW w:w="4788" w:type="dxa"/>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Complies with Development Plan?  Y/N</w:t>
            </w:r>
            <w:r w:rsidRPr="00E9095A">
              <w:rPr>
                <w:rFonts w:cs="Arial"/>
                <w:b/>
                <w:bCs/>
                <w:color w:val="000000"/>
                <w:sz w:val="18"/>
                <w:szCs w:val="18"/>
                <w:lang w:eastAsia="en-GB"/>
              </w:rPr>
              <w:br/>
              <w:t>If not, ensure you cover in the report how material considerations outweigh the plan?</w:t>
            </w:r>
          </w:p>
        </w:tc>
        <w:tc>
          <w:tcPr>
            <w:tcW w:w="4563" w:type="dxa"/>
            <w:shd w:val="pct25" w:color="auto" w:fill="auto"/>
            <w:vAlign w:val="center"/>
          </w:tcPr>
          <w:p w:rsidR="00FB105E" w:rsidRPr="00E9095A" w:rsidRDefault="000A16D7" w:rsidP="00CB71C4">
            <w:pPr>
              <w:autoSpaceDE w:val="0"/>
              <w:autoSpaceDN w:val="0"/>
              <w:spacing w:before="60" w:after="60" w:line="240" w:lineRule="auto"/>
              <w:rPr>
                <w:rFonts w:cs="Arial"/>
                <w:b/>
                <w:bCs/>
                <w:color w:val="000000"/>
                <w:sz w:val="18"/>
                <w:szCs w:val="18"/>
                <w:lang w:eastAsia="en-GB"/>
              </w:rPr>
            </w:pPr>
            <w:r>
              <w:rPr>
                <w:rFonts w:cs="Arial"/>
                <w:b/>
                <w:bCs/>
                <w:color w:val="000000"/>
                <w:sz w:val="18"/>
                <w:szCs w:val="18"/>
                <w:lang w:eastAsia="en-GB"/>
              </w:rPr>
              <w:t>y</w:t>
            </w:r>
          </w:p>
        </w:tc>
      </w:tr>
      <w:tr w:rsidR="00FB105E" w:rsidRPr="00E9095A" w:rsidTr="00894850">
        <w:tc>
          <w:tcPr>
            <w:tcW w:w="9351" w:type="dxa"/>
            <w:gridSpan w:val="2"/>
            <w:shd w:val="pct25" w:color="000000" w:fill="FFFFFF"/>
            <w:vAlign w:val="center"/>
          </w:tcPr>
          <w:p w:rsidR="00FB105E" w:rsidRPr="00E9095A" w:rsidRDefault="00FB105E" w:rsidP="00CB71C4">
            <w:pPr>
              <w:autoSpaceDE w:val="0"/>
              <w:autoSpaceDN w:val="0"/>
              <w:spacing w:before="60" w:after="60" w:line="240" w:lineRule="auto"/>
              <w:rPr>
                <w:rFonts w:cs="Arial"/>
                <w:b/>
                <w:bCs/>
                <w:color w:val="000000"/>
                <w:sz w:val="18"/>
                <w:szCs w:val="18"/>
                <w:lang w:eastAsia="en-GB"/>
              </w:rPr>
            </w:pPr>
            <w:r w:rsidRPr="00E9095A">
              <w:rPr>
                <w:rFonts w:cs="Arial"/>
                <w:b/>
                <w:bCs/>
                <w:color w:val="000000"/>
                <w:sz w:val="18"/>
                <w:szCs w:val="18"/>
                <w:lang w:eastAsia="en-GB"/>
              </w:rPr>
              <w:t xml:space="preserve">Is this decision contrary to local council recommendation? </w:t>
            </w:r>
          </w:p>
        </w:tc>
      </w:tr>
    </w:tbl>
    <w:p w:rsidR="00FB105E" w:rsidRPr="00E9095A" w:rsidRDefault="00FB105E" w:rsidP="00FB105E">
      <w:pPr>
        <w:autoSpaceDE w:val="0"/>
        <w:autoSpaceDN w:val="0"/>
        <w:spacing w:after="0" w:line="240" w:lineRule="auto"/>
        <w:rPr>
          <w:rFonts w:cs="Arial"/>
          <w:color w:val="000000"/>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6075"/>
      </w:tblGrid>
      <w:tr w:rsidR="00FB105E" w:rsidRPr="00E9095A" w:rsidTr="00894850">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Applicant:</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Mr Ben Kirk </w:t>
            </w:r>
          </w:p>
        </w:tc>
      </w:tr>
      <w:tr w:rsidR="00FB105E" w:rsidRPr="00E9095A" w:rsidTr="00894850">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Site Address:</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Evergreen Cottage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5 The Parade</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Hugh Town</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St Mary's</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Isles Of Scilly</w:t>
            </w:r>
          </w:p>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TR21 0LP</w:t>
            </w:r>
          </w:p>
          <w:p w:rsidR="00FB105E" w:rsidRPr="00E9095A" w:rsidRDefault="00FB105E" w:rsidP="00CB71C4">
            <w:pPr>
              <w:autoSpaceDE w:val="0"/>
              <w:autoSpaceDN w:val="0"/>
              <w:spacing w:after="0" w:line="240" w:lineRule="auto"/>
              <w:rPr>
                <w:rFonts w:cs="Arial"/>
                <w:b/>
                <w:bCs/>
                <w:color w:val="000000"/>
                <w:sz w:val="18"/>
                <w:szCs w:val="18"/>
                <w:lang w:eastAsia="en-GB"/>
              </w:rPr>
            </w:pPr>
          </w:p>
        </w:tc>
      </w:tr>
      <w:tr w:rsidR="00FB105E" w:rsidRPr="00E9095A" w:rsidTr="00894850">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Proposal:</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 xml:space="preserve">Replacement of </w:t>
            </w:r>
            <w:proofErr w:type="spellStart"/>
            <w:r w:rsidRPr="00E9095A">
              <w:rPr>
                <w:rFonts w:cs="Arial"/>
                <w:b/>
                <w:bCs/>
                <w:color w:val="000000"/>
                <w:sz w:val="18"/>
                <w:szCs w:val="18"/>
                <w:lang w:eastAsia="en-GB"/>
              </w:rPr>
              <w:t>scantle</w:t>
            </w:r>
            <w:proofErr w:type="spellEnd"/>
            <w:r w:rsidRPr="00E9095A">
              <w:rPr>
                <w:rFonts w:cs="Arial"/>
                <w:b/>
                <w:bCs/>
                <w:color w:val="000000"/>
                <w:sz w:val="18"/>
                <w:szCs w:val="18"/>
                <w:lang w:eastAsia="en-GB"/>
              </w:rPr>
              <w:t xml:space="preserve"> slate roof covering on rear extension with natural slate. (listed building)</w:t>
            </w:r>
          </w:p>
        </w:tc>
      </w:tr>
      <w:tr w:rsidR="00FB105E" w:rsidRPr="00E9095A" w:rsidTr="00894850">
        <w:trPr>
          <w:trHeight w:val="324"/>
        </w:trPr>
        <w:tc>
          <w:tcPr>
            <w:tcW w:w="3276"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Application Type:</w:t>
            </w:r>
          </w:p>
        </w:tc>
        <w:tc>
          <w:tcPr>
            <w:tcW w:w="6075" w:type="dxa"/>
            <w:shd w:val="pct25" w:color="000000" w:fill="FFFFFF"/>
            <w:vAlign w:val="center"/>
          </w:tcPr>
          <w:p w:rsidR="00FB105E" w:rsidRPr="00E9095A" w:rsidRDefault="00FB105E" w:rsidP="00CB71C4">
            <w:pPr>
              <w:autoSpaceDE w:val="0"/>
              <w:autoSpaceDN w:val="0"/>
              <w:spacing w:after="0" w:line="240" w:lineRule="auto"/>
              <w:rPr>
                <w:rFonts w:cs="Arial"/>
                <w:b/>
                <w:bCs/>
                <w:color w:val="000000"/>
                <w:sz w:val="18"/>
                <w:szCs w:val="18"/>
                <w:lang w:eastAsia="en-GB"/>
              </w:rPr>
            </w:pPr>
            <w:r w:rsidRPr="00E9095A">
              <w:rPr>
                <w:rFonts w:cs="Arial"/>
                <w:b/>
                <w:bCs/>
                <w:color w:val="000000"/>
                <w:sz w:val="18"/>
                <w:szCs w:val="18"/>
                <w:lang w:eastAsia="en-GB"/>
              </w:rPr>
              <w:t>Planning Permission</w:t>
            </w:r>
          </w:p>
        </w:tc>
      </w:tr>
    </w:tbl>
    <w:p w:rsidR="00FB105E" w:rsidRPr="00E9095A" w:rsidRDefault="00FB105E" w:rsidP="00FB105E">
      <w:pPr>
        <w:autoSpaceDE w:val="0"/>
        <w:autoSpaceDN w:val="0"/>
        <w:spacing w:after="0" w:line="240" w:lineRule="auto"/>
        <w:rPr>
          <w:rFonts w:cs="Arial"/>
          <w:b/>
          <w:bCs/>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Description of site and development:</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is an application for Planning Permission and Listed Building Consent to replace failed </w:t>
      </w:r>
      <w:proofErr w:type="spellStart"/>
      <w:r w:rsidRPr="00E9095A">
        <w:rPr>
          <w:rFonts w:cs="Arial"/>
          <w:color w:val="000000"/>
          <w:lang w:eastAsia="en-GB"/>
        </w:rPr>
        <w:t>scantle</w:t>
      </w:r>
      <w:proofErr w:type="spellEnd"/>
      <w:r w:rsidRPr="00E9095A">
        <w:rPr>
          <w:rFonts w:cs="Arial"/>
          <w:color w:val="000000"/>
          <w:lang w:eastAsia="en-GB"/>
        </w:rPr>
        <w:t xml:space="preserve"> roofing slates on the rear of this grade II listed building in Hugh Town.  The main part of this dwelling, which is the 3-bay fronted mid-terraced cottage, has concrete tiles of a uniform size on both the front facing and rear facing </w:t>
      </w:r>
      <w:proofErr w:type="spellStart"/>
      <w:r w:rsidRPr="00E9095A">
        <w:rPr>
          <w:rFonts w:cs="Arial"/>
          <w:color w:val="000000"/>
          <w:lang w:eastAsia="en-GB"/>
        </w:rPr>
        <w:t>roofslope</w:t>
      </w:r>
      <w:proofErr w:type="spellEnd"/>
      <w:r w:rsidRPr="00E9095A">
        <w:rPr>
          <w:rFonts w:cs="Arial"/>
          <w:color w:val="000000"/>
          <w:lang w:eastAsia="en-GB"/>
        </w:rPr>
        <w:t xml:space="preserve">.  The roof containing </w:t>
      </w:r>
      <w:proofErr w:type="spellStart"/>
      <w:r w:rsidRPr="00E9095A">
        <w:rPr>
          <w:rFonts w:cs="Arial"/>
          <w:color w:val="000000"/>
          <w:lang w:eastAsia="en-GB"/>
        </w:rPr>
        <w:t>scantle</w:t>
      </w:r>
      <w:proofErr w:type="spellEnd"/>
      <w:r w:rsidRPr="00E9095A">
        <w:rPr>
          <w:rFonts w:cs="Arial"/>
          <w:color w:val="000000"/>
          <w:lang w:eastAsia="en-GB"/>
        </w:rPr>
        <w:t xml:space="preserve"> is the rear return, which has a valley linking in to the main body of the dwelling as well as an attachment on to a flat roof rear extension.  It is this section of roof that has failed following earlier </w:t>
      </w:r>
      <w:proofErr w:type="spellStart"/>
      <w:r w:rsidRPr="00E9095A">
        <w:rPr>
          <w:rFonts w:cs="Arial"/>
          <w:color w:val="000000"/>
          <w:lang w:eastAsia="en-GB"/>
        </w:rPr>
        <w:t>scantle</w:t>
      </w:r>
      <w:proofErr w:type="spellEnd"/>
      <w:r w:rsidRPr="00E9095A">
        <w:rPr>
          <w:rFonts w:cs="Arial"/>
          <w:color w:val="000000"/>
          <w:lang w:eastAsia="en-GB"/>
        </w:rPr>
        <w:t xml:space="preserve"> repairs.   The proposal is to install a dry-lay natural slate on this rear section to replace the </w:t>
      </w:r>
      <w:proofErr w:type="spellStart"/>
      <w:r w:rsidRPr="00E9095A">
        <w:rPr>
          <w:rFonts w:cs="Arial"/>
          <w:color w:val="000000"/>
          <w:lang w:eastAsia="en-GB"/>
        </w:rPr>
        <w:t>scantle</w:t>
      </w:r>
      <w:proofErr w:type="spellEnd"/>
      <w:r w:rsidRPr="00E9095A">
        <w:rPr>
          <w:rFonts w:cs="Arial"/>
          <w:color w:val="000000"/>
          <w:lang w:eastAsia="en-GB"/>
        </w:rPr>
        <w:t>.</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property is location in Hugh Town on the Parade, directly facing the Town Hall.. It is a traditional granite cottage, rendered and painted pink.  It has a small enclosed front garden and a modest private rear garden.  The building was listed in 1975 and is described </w:t>
      </w:r>
      <w:r w:rsidR="000A16D7" w:rsidRPr="00E9095A">
        <w:rPr>
          <w:rFonts w:cs="Arial"/>
          <w:color w:val="000000"/>
          <w:lang w:eastAsia="en-GB"/>
        </w:rPr>
        <w:t>official</w:t>
      </w:r>
      <w:r w:rsidRPr="00E9095A">
        <w:rPr>
          <w:rFonts w:cs="Arial"/>
          <w:color w:val="000000"/>
          <w:lang w:eastAsia="en-GB"/>
        </w:rPr>
        <w:t xml:space="preserve"> by Historic England as: </w:t>
      </w:r>
    </w:p>
    <w:p w:rsidR="00FB105E" w:rsidRPr="000A16D7" w:rsidRDefault="00FB105E" w:rsidP="00FB105E">
      <w:pPr>
        <w:autoSpaceDE w:val="0"/>
        <w:autoSpaceDN w:val="0"/>
        <w:spacing w:after="0" w:line="240" w:lineRule="auto"/>
        <w:jc w:val="both"/>
        <w:rPr>
          <w:rFonts w:cs="Arial"/>
          <w:b/>
          <w:i/>
          <w:color w:val="000000"/>
          <w:lang w:eastAsia="en-GB"/>
        </w:rPr>
      </w:pPr>
      <w:r w:rsidRPr="000A16D7">
        <w:rPr>
          <w:rFonts w:cs="Arial"/>
          <w:b/>
          <w:i/>
          <w:color w:val="000000"/>
          <w:lang w:eastAsia="en-GB"/>
        </w:rPr>
        <w:t xml:space="preserve">Two houses. C18 or early C19 with later alterations. Granite rubble with rendered fronts; gabled mid C20 plain tile roofs; granite end stacks with drip courses. Each house of 2-room plan with central staircase. 2 storeys. Each house of symmetrical 3-window range. C20 central door and C20 horned 8/8-pane sashes to Evergreen Cottage. </w:t>
      </w:r>
      <w:proofErr w:type="spellStart"/>
      <w:r w:rsidRPr="000A16D7">
        <w:rPr>
          <w:rFonts w:cs="Arial"/>
          <w:b/>
          <w:i/>
          <w:color w:val="000000"/>
          <w:lang w:eastAsia="en-GB"/>
        </w:rPr>
        <w:t>Pelistry</w:t>
      </w:r>
      <w:proofErr w:type="spellEnd"/>
      <w:r w:rsidRPr="000A16D7">
        <w:rPr>
          <w:rFonts w:cs="Arial"/>
          <w:b/>
          <w:i/>
          <w:color w:val="000000"/>
          <w:lang w:eastAsia="en-GB"/>
        </w:rPr>
        <w:t xml:space="preserve"> has late C19 half-glazed central door and late C19 horned 3/3-pane sashes. C19 service </w:t>
      </w:r>
      <w:proofErr w:type="spellStart"/>
      <w:r w:rsidRPr="000A16D7">
        <w:rPr>
          <w:rFonts w:cs="Arial"/>
          <w:b/>
          <w:i/>
          <w:color w:val="000000"/>
          <w:lang w:eastAsia="en-GB"/>
        </w:rPr>
        <w:t>outshuts</w:t>
      </w:r>
      <w:proofErr w:type="spellEnd"/>
      <w:r w:rsidRPr="000A16D7">
        <w:rPr>
          <w:rFonts w:cs="Arial"/>
          <w:b/>
          <w:i/>
          <w:color w:val="000000"/>
          <w:lang w:eastAsia="en-GB"/>
        </w:rPr>
        <w:t xml:space="preserve"> and mid C20 extensions to rear. Interior: mid/late C19 panelled doors and typical joists.</w:t>
      </w:r>
    </w:p>
    <w:p w:rsidR="000A16D7" w:rsidRPr="00E9095A" w:rsidRDefault="000A16D7"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property is listed for its group value of properties that remain in Hugh Town that date from this period.</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Public representations:</w:t>
            </w:r>
          </w:p>
        </w:tc>
      </w:tr>
    </w:tbl>
    <w:p w:rsidR="00FB105E" w:rsidRPr="00E9095A" w:rsidRDefault="00FB105E" w:rsidP="00FB105E">
      <w:pPr>
        <w:autoSpaceDE w:val="0"/>
        <w:autoSpaceDN w:val="0"/>
        <w:spacing w:after="0" w:line="240" w:lineRule="auto"/>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r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Consultee representations:</w:t>
            </w:r>
          </w:p>
        </w:tc>
      </w:tr>
    </w:tbl>
    <w:p w:rsidR="000A16D7" w:rsidRDefault="000A16D7" w:rsidP="00FB105E">
      <w:pPr>
        <w:autoSpaceDE w:val="0"/>
        <w:autoSpaceDN w:val="0"/>
        <w:spacing w:after="0" w:line="240" w:lineRule="auto"/>
        <w:jc w:val="both"/>
        <w:rPr>
          <w:rFonts w:cs="Arial"/>
          <w:color w:val="000000"/>
          <w:lang w:eastAsia="en-GB"/>
        </w:rPr>
      </w:pPr>
      <w:r>
        <w:rPr>
          <w:rFonts w:cs="Arial"/>
          <w:color w:val="000000"/>
          <w:lang w:eastAsia="en-GB"/>
        </w:rPr>
        <w:t xml:space="preserve">  </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NONE</w:t>
      </w: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Constraints and designations:</w:t>
            </w:r>
          </w:p>
        </w:tc>
      </w:tr>
    </w:tbl>
    <w:p w:rsidR="00FB105E" w:rsidRDefault="00FB105E" w:rsidP="00FB105E">
      <w:pPr>
        <w:autoSpaceDE w:val="0"/>
        <w:autoSpaceDN w:val="0"/>
        <w:spacing w:after="0" w:line="240" w:lineRule="auto"/>
        <w:ind w:left="3960" w:hanging="3960"/>
        <w:jc w:val="both"/>
        <w:rPr>
          <w:rFonts w:cs="Arial"/>
          <w:color w:val="000000"/>
          <w:lang w:eastAsia="en-GB"/>
        </w:rPr>
      </w:pPr>
    </w:p>
    <w:p w:rsidR="00FB105E" w:rsidRPr="00E9095A" w:rsidRDefault="000A16D7" w:rsidP="00FB105E">
      <w:pPr>
        <w:autoSpaceDE w:val="0"/>
        <w:autoSpaceDN w:val="0"/>
        <w:spacing w:after="0" w:line="240" w:lineRule="auto"/>
        <w:ind w:left="3960" w:hanging="3960"/>
        <w:jc w:val="both"/>
        <w:rPr>
          <w:rFonts w:cs="Arial"/>
          <w:color w:val="000000"/>
          <w:lang w:eastAsia="en-GB"/>
        </w:rPr>
      </w:pPr>
      <w:r>
        <w:rPr>
          <w:rFonts w:cs="Arial"/>
          <w:color w:val="000000"/>
          <w:lang w:eastAsia="en-GB"/>
        </w:rPr>
        <w:t>Grade II LB, Conservation Area, Heritage Coast and AONB</w:t>
      </w: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Relevant policies, SPGs and Government guidance:</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Policy 1 Environmental Protection</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This policy seeks to ensure that all relevant future development proposals respect and protect the recognised quality of the islands' natural, archaeological, historic and built environment, they will be permitted only where they: (c) preserve or enhance the character or appearance of the Conservation Area and preserve the architectural or historic interest of all listed buildings.</w:t>
      </w:r>
    </w:p>
    <w:p w:rsidR="00FB105E" w:rsidRPr="00E9095A" w:rsidRDefault="00FB105E" w:rsidP="00FB105E">
      <w:pPr>
        <w:autoSpaceDE w:val="0"/>
        <w:autoSpaceDN w:val="0"/>
        <w:spacing w:after="0" w:line="240" w:lineRule="auto"/>
        <w:jc w:val="both"/>
        <w:rPr>
          <w:rFonts w:cs="Arial"/>
          <w:color w:val="000000"/>
          <w:lang w:eastAsia="en-GB"/>
        </w:rPr>
      </w:pPr>
      <w:bookmarkStart w:id="0" w:name="_GoBack"/>
      <w:bookmarkEnd w:id="0"/>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Appraisal/key issues and conclusion:</w:t>
            </w:r>
          </w:p>
        </w:tc>
      </w:tr>
    </w:tbl>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The principal consideration of this application is whether the proposed works will preserve the architectural or historic interest of Evergreen Cottage as a Grade II listed building.  The Planning Considerations also require any development proposal to preserve or enhance the wider character of the conservation area.  Finally it is a material planning consideration to ensure any development does not harm the amenity of neighbouring residential properties.</w:t>
      </w:r>
    </w:p>
    <w:p w:rsidR="00FB105E" w:rsidRPr="00E9095A" w:rsidRDefault="00FB105E" w:rsidP="00FB105E">
      <w:pPr>
        <w:autoSpaceDE w:val="0"/>
        <w:autoSpaceDN w:val="0"/>
        <w:spacing w:after="0" w:line="240" w:lineRule="auto"/>
        <w:jc w:val="both"/>
        <w:rPr>
          <w:rFonts w:cs="Arial"/>
          <w:color w:val="000000"/>
          <w:lang w:eastAsia="en-GB"/>
        </w:rPr>
      </w:pPr>
    </w:p>
    <w:p w:rsidR="00FB105E" w:rsidRPr="000A16D7" w:rsidRDefault="00FB105E" w:rsidP="00FB105E">
      <w:pPr>
        <w:autoSpaceDE w:val="0"/>
        <w:autoSpaceDN w:val="0"/>
        <w:spacing w:after="0" w:line="240" w:lineRule="auto"/>
        <w:jc w:val="both"/>
        <w:rPr>
          <w:rFonts w:cs="Arial"/>
          <w:b/>
          <w:color w:val="000000"/>
          <w:lang w:eastAsia="en-GB"/>
        </w:rPr>
      </w:pPr>
      <w:r w:rsidRPr="000A16D7">
        <w:rPr>
          <w:rFonts w:cs="Arial"/>
          <w:b/>
          <w:color w:val="000000"/>
          <w:lang w:eastAsia="en-GB"/>
        </w:rPr>
        <w:t>Impact upon the listed building</w:t>
      </w:r>
    </w:p>
    <w:p w:rsidR="00FB105E"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property is listed for its architectural interest as one of a number of properties from the late 18th and early 19th century that remain largely unaltered within Hugh Town on St Mary's.  The listing description notes the presence of plain tile roofs dating from the 20th century but does not reference the use of the </w:t>
      </w:r>
      <w:proofErr w:type="spellStart"/>
      <w:r w:rsidRPr="00E9095A">
        <w:rPr>
          <w:rFonts w:cs="Arial"/>
          <w:color w:val="000000"/>
          <w:lang w:eastAsia="en-GB"/>
        </w:rPr>
        <w:t>scantle</w:t>
      </w:r>
      <w:proofErr w:type="spellEnd"/>
      <w:r w:rsidRPr="00E9095A">
        <w:rPr>
          <w:rFonts w:cs="Arial"/>
          <w:color w:val="000000"/>
          <w:lang w:eastAsia="en-GB"/>
        </w:rPr>
        <w:t xml:space="preserve"> on the rear.  There are a diminishing number of properties </w:t>
      </w:r>
      <w:r w:rsidR="000A16D7" w:rsidRPr="00E9095A">
        <w:rPr>
          <w:rFonts w:cs="Arial"/>
          <w:color w:val="000000"/>
          <w:lang w:eastAsia="en-GB"/>
        </w:rPr>
        <w:t>within</w:t>
      </w:r>
      <w:r w:rsidRPr="00E9095A">
        <w:rPr>
          <w:rFonts w:cs="Arial"/>
          <w:color w:val="000000"/>
          <w:lang w:eastAsia="en-GB"/>
        </w:rPr>
        <w:t xml:space="preserve"> Hugh Town that retain a traditional '</w:t>
      </w:r>
      <w:proofErr w:type="spellStart"/>
      <w:r w:rsidRPr="00E9095A">
        <w:rPr>
          <w:rFonts w:cs="Arial"/>
          <w:color w:val="000000"/>
          <w:lang w:eastAsia="en-GB"/>
        </w:rPr>
        <w:t>scantle</w:t>
      </w:r>
      <w:proofErr w:type="spellEnd"/>
      <w:r w:rsidRPr="00E9095A">
        <w:rPr>
          <w:rFonts w:cs="Arial"/>
          <w:color w:val="000000"/>
          <w:lang w:eastAsia="en-GB"/>
        </w:rPr>
        <w:t xml:space="preserve">' roof and this is likely to be due to the period in which these properties where constructed.  Lasting many decades a </w:t>
      </w:r>
      <w:proofErr w:type="spellStart"/>
      <w:r w:rsidRPr="00E9095A">
        <w:rPr>
          <w:rFonts w:cs="Arial"/>
          <w:color w:val="000000"/>
          <w:lang w:eastAsia="en-GB"/>
        </w:rPr>
        <w:t>scantle</w:t>
      </w:r>
      <w:proofErr w:type="spellEnd"/>
      <w:r w:rsidRPr="00E9095A">
        <w:rPr>
          <w:rFonts w:cs="Arial"/>
          <w:color w:val="000000"/>
          <w:lang w:eastAsia="en-GB"/>
        </w:rPr>
        <w:t xml:space="preserve"> roof requires little maintenance unless it fails and has to be replaced.  It is difficult to patch repair </w:t>
      </w:r>
      <w:proofErr w:type="spellStart"/>
      <w:r w:rsidRPr="00E9095A">
        <w:rPr>
          <w:rFonts w:cs="Arial"/>
          <w:color w:val="000000"/>
          <w:lang w:eastAsia="en-GB"/>
        </w:rPr>
        <w:t>scantle</w:t>
      </w:r>
      <w:proofErr w:type="spellEnd"/>
      <w:r w:rsidRPr="00E9095A">
        <w:rPr>
          <w:rFonts w:cs="Arial"/>
          <w:color w:val="000000"/>
          <w:lang w:eastAsia="en-GB"/>
        </w:rPr>
        <w:t xml:space="preserve">.  </w:t>
      </w:r>
      <w:proofErr w:type="spellStart"/>
      <w:r w:rsidRPr="00E9095A">
        <w:rPr>
          <w:rFonts w:cs="Arial"/>
          <w:color w:val="000000"/>
          <w:lang w:eastAsia="en-GB"/>
        </w:rPr>
        <w:t>Scantle</w:t>
      </w:r>
      <w:proofErr w:type="spellEnd"/>
      <w:r w:rsidRPr="00E9095A">
        <w:rPr>
          <w:rFonts w:cs="Arial"/>
          <w:color w:val="000000"/>
          <w:lang w:eastAsia="en-GB"/>
        </w:rPr>
        <w:t xml:space="preserve"> slate roofs are a traditional roof covering of Cornwall, Devon and the South West of England and comprise diminishing courses of are usually slate </w:t>
      </w:r>
      <w:r w:rsidR="000A16D7" w:rsidRPr="00E9095A">
        <w:rPr>
          <w:rFonts w:cs="Arial"/>
          <w:color w:val="000000"/>
          <w:lang w:eastAsia="en-GB"/>
        </w:rPr>
        <w:t>obtained</w:t>
      </w:r>
      <w:r w:rsidRPr="00E9095A">
        <w:rPr>
          <w:rFonts w:cs="Arial"/>
          <w:color w:val="000000"/>
          <w:lang w:eastAsia="en-GB"/>
        </w:rPr>
        <w:t xml:space="preserve"> from </w:t>
      </w:r>
      <w:r w:rsidR="000A16D7" w:rsidRPr="00E9095A">
        <w:rPr>
          <w:rFonts w:cs="Arial"/>
          <w:color w:val="000000"/>
          <w:lang w:eastAsia="en-GB"/>
        </w:rPr>
        <w:t>Cornwall</w:t>
      </w:r>
      <w:r w:rsidRPr="00E9095A">
        <w:rPr>
          <w:rFonts w:cs="Arial"/>
          <w:color w:val="000000"/>
          <w:lang w:eastAsia="en-GB"/>
        </w:rPr>
        <w:t xml:space="preserve"> such as </w:t>
      </w:r>
      <w:proofErr w:type="spellStart"/>
      <w:r w:rsidRPr="00E9095A">
        <w:rPr>
          <w:rFonts w:cs="Arial"/>
          <w:color w:val="000000"/>
          <w:lang w:eastAsia="en-GB"/>
        </w:rPr>
        <w:t>delabole</w:t>
      </w:r>
      <w:proofErr w:type="spellEnd"/>
      <w:r w:rsidRPr="00E9095A">
        <w:rPr>
          <w:rFonts w:cs="Arial"/>
          <w:color w:val="000000"/>
          <w:lang w:eastAsia="en-GB"/>
        </w:rPr>
        <w:t xml:space="preserve"> and </w:t>
      </w:r>
      <w:proofErr w:type="spellStart"/>
      <w:r w:rsidRPr="00E9095A">
        <w:rPr>
          <w:rFonts w:cs="Arial"/>
          <w:color w:val="000000"/>
          <w:lang w:eastAsia="en-GB"/>
        </w:rPr>
        <w:t>trevillet</w:t>
      </w:r>
      <w:proofErr w:type="spellEnd"/>
      <w:r w:rsidRPr="00E9095A">
        <w:rPr>
          <w:rFonts w:cs="Arial"/>
          <w:color w:val="000000"/>
          <w:lang w:eastAsia="en-GB"/>
        </w:rPr>
        <w:t xml:space="preserve"> laid on a bed or lime mortar.  </w:t>
      </w:r>
      <w:r w:rsidR="000A16D7" w:rsidRPr="00E9095A">
        <w:rPr>
          <w:rFonts w:cs="Arial"/>
          <w:color w:val="000000"/>
          <w:lang w:eastAsia="en-GB"/>
        </w:rPr>
        <w:t>It</w:t>
      </w:r>
      <w:r w:rsidRPr="00E9095A">
        <w:rPr>
          <w:rFonts w:cs="Arial"/>
          <w:color w:val="000000"/>
          <w:lang w:eastAsia="en-GB"/>
        </w:rPr>
        <w:t xml:space="preserve"> is otherwise known as a wet-lay.  Due to the weight of the timber laths, the lime mortar bed and the slates the timber roofing underneath has to be sound.  The problems of water ingress</w:t>
      </w:r>
      <w:r w:rsidR="000A16D7">
        <w:rPr>
          <w:rFonts w:cs="Arial"/>
          <w:color w:val="000000"/>
          <w:lang w:eastAsia="en-GB"/>
        </w:rPr>
        <w:t>, as identified both in the submitted photographs and noted during a site visit,</w:t>
      </w:r>
      <w:r w:rsidRPr="00E9095A">
        <w:rPr>
          <w:rFonts w:cs="Arial"/>
          <w:color w:val="000000"/>
          <w:lang w:eastAsia="en-GB"/>
        </w:rPr>
        <w:t xml:space="preserve"> to the rear of this property has resulted in sections of rotten timbers and as such it is likely that the original roof, with timber repairs, is unlikely to be suitable to support a replacement of a </w:t>
      </w:r>
      <w:proofErr w:type="spellStart"/>
      <w:r w:rsidRPr="00E9095A">
        <w:rPr>
          <w:rFonts w:cs="Arial"/>
          <w:color w:val="000000"/>
          <w:lang w:eastAsia="en-GB"/>
        </w:rPr>
        <w:t>scantle</w:t>
      </w:r>
      <w:proofErr w:type="spellEnd"/>
      <w:r w:rsidRPr="00E9095A">
        <w:rPr>
          <w:rFonts w:cs="Arial"/>
          <w:color w:val="000000"/>
          <w:lang w:eastAsia="en-GB"/>
        </w:rPr>
        <w:t xml:space="preserve"> roof.</w:t>
      </w:r>
    </w:p>
    <w:p w:rsidR="000A16D7" w:rsidRPr="00E9095A" w:rsidRDefault="000A16D7"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Whilst the rest of the property is covered with small tiles, as opposed to natural slate, it is considered that the roof of this section of the </w:t>
      </w:r>
      <w:r w:rsidR="000A16D7" w:rsidRPr="00E9095A">
        <w:rPr>
          <w:rFonts w:cs="Arial"/>
          <w:color w:val="000000"/>
          <w:lang w:eastAsia="en-GB"/>
        </w:rPr>
        <w:t>property</w:t>
      </w:r>
      <w:r w:rsidRPr="00E9095A">
        <w:rPr>
          <w:rFonts w:cs="Arial"/>
          <w:color w:val="000000"/>
          <w:lang w:eastAsia="en-GB"/>
        </w:rPr>
        <w:t xml:space="preserve"> should be re-covered with natural slate.  It is considered that the use of natural, dry-lay, slate would preserve the architectural interest of this property better than </w:t>
      </w:r>
      <w:r w:rsidR="000A16D7" w:rsidRPr="00E9095A">
        <w:rPr>
          <w:rFonts w:cs="Arial"/>
          <w:color w:val="000000"/>
          <w:lang w:eastAsia="en-GB"/>
        </w:rPr>
        <w:t>modern</w:t>
      </w:r>
      <w:r w:rsidRPr="00E9095A">
        <w:rPr>
          <w:rFonts w:cs="Arial"/>
          <w:color w:val="000000"/>
          <w:lang w:eastAsia="en-GB"/>
        </w:rPr>
        <w:t xml:space="preserve"> clay or cement tile.  Whilst the loss of the traditional </w:t>
      </w:r>
      <w:proofErr w:type="spellStart"/>
      <w:r w:rsidRPr="00E9095A">
        <w:rPr>
          <w:rFonts w:cs="Arial"/>
          <w:color w:val="000000"/>
          <w:lang w:eastAsia="en-GB"/>
        </w:rPr>
        <w:t>scantle</w:t>
      </w:r>
      <w:proofErr w:type="spellEnd"/>
      <w:r w:rsidRPr="00E9095A">
        <w:rPr>
          <w:rFonts w:cs="Arial"/>
          <w:color w:val="000000"/>
          <w:lang w:eastAsia="en-GB"/>
        </w:rPr>
        <w:t xml:space="preserve"> roof would result in some harm, it is considered that this would be less, than substantial.  Overall as the works relate to a small section of roof on the rear of this property, the use of a dry-lay slate will not result in less than substantial harm to the overall significance of this listed building and would preserve the architectural interest of this property.</w:t>
      </w:r>
    </w:p>
    <w:p w:rsidR="00FB105E" w:rsidRPr="00E9095A" w:rsidRDefault="00FB105E" w:rsidP="00FB105E">
      <w:pPr>
        <w:autoSpaceDE w:val="0"/>
        <w:autoSpaceDN w:val="0"/>
        <w:spacing w:after="0" w:line="240" w:lineRule="auto"/>
        <w:jc w:val="both"/>
        <w:rPr>
          <w:rFonts w:cs="Arial"/>
          <w:color w:val="000000"/>
          <w:lang w:eastAsia="en-GB"/>
        </w:rPr>
      </w:pPr>
    </w:p>
    <w:p w:rsidR="00FB105E" w:rsidRPr="000A16D7" w:rsidRDefault="00FB105E" w:rsidP="00FB105E">
      <w:pPr>
        <w:autoSpaceDE w:val="0"/>
        <w:autoSpaceDN w:val="0"/>
        <w:spacing w:after="0" w:line="240" w:lineRule="auto"/>
        <w:jc w:val="both"/>
        <w:rPr>
          <w:rFonts w:cs="Arial"/>
          <w:b/>
          <w:color w:val="000000"/>
          <w:lang w:eastAsia="en-GB"/>
        </w:rPr>
      </w:pPr>
      <w:r w:rsidRPr="000A16D7">
        <w:rPr>
          <w:rFonts w:cs="Arial"/>
          <w:b/>
          <w:color w:val="000000"/>
          <w:lang w:eastAsia="en-GB"/>
        </w:rPr>
        <w:t>Impact upon the wider character of the conservation area</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This property forms the end of a row of cottages that date to the same </w:t>
      </w:r>
      <w:r w:rsidR="000A16D7" w:rsidRPr="00E9095A">
        <w:rPr>
          <w:rFonts w:cs="Arial"/>
          <w:color w:val="000000"/>
          <w:lang w:eastAsia="en-GB"/>
        </w:rPr>
        <w:t>period;</w:t>
      </w:r>
      <w:r w:rsidRPr="00E9095A">
        <w:rPr>
          <w:rFonts w:cs="Arial"/>
          <w:color w:val="000000"/>
          <w:lang w:eastAsia="en-GB"/>
        </w:rPr>
        <w:t xml:space="preserve"> they retain traditional characteristics with well-kept open front gardens, with each property retaining a pleasing symmetrical </w:t>
      </w:r>
      <w:r w:rsidR="000A16D7" w:rsidRPr="00E9095A">
        <w:rPr>
          <w:rFonts w:cs="Arial"/>
          <w:color w:val="000000"/>
          <w:lang w:eastAsia="en-GB"/>
        </w:rPr>
        <w:t>appearance</w:t>
      </w:r>
      <w:r w:rsidRPr="00E9095A">
        <w:rPr>
          <w:rFonts w:cs="Arial"/>
          <w:color w:val="000000"/>
          <w:lang w:eastAsia="en-GB"/>
        </w:rPr>
        <w:t>.  Together these properties are an important feature of Hugh Town that enclose the public open space of The Parade.  It is considered that the replacement roof materials on the rear of this property with not result in any harm and the wider character of this area will be preserved.</w:t>
      </w:r>
    </w:p>
    <w:p w:rsidR="00FB105E" w:rsidRPr="00E9095A" w:rsidRDefault="00FB105E" w:rsidP="00FB105E">
      <w:pPr>
        <w:autoSpaceDE w:val="0"/>
        <w:autoSpaceDN w:val="0"/>
        <w:spacing w:after="0" w:line="240" w:lineRule="auto"/>
        <w:jc w:val="both"/>
        <w:rPr>
          <w:rFonts w:cs="Arial"/>
          <w:color w:val="000000"/>
          <w:lang w:eastAsia="en-GB"/>
        </w:rPr>
      </w:pPr>
    </w:p>
    <w:p w:rsidR="00FB105E" w:rsidRPr="000A16D7" w:rsidRDefault="00FB105E" w:rsidP="00FB105E">
      <w:pPr>
        <w:autoSpaceDE w:val="0"/>
        <w:autoSpaceDN w:val="0"/>
        <w:spacing w:after="0" w:line="240" w:lineRule="auto"/>
        <w:jc w:val="both"/>
        <w:rPr>
          <w:rFonts w:cs="Arial"/>
          <w:b/>
          <w:color w:val="000000"/>
          <w:lang w:eastAsia="en-GB"/>
        </w:rPr>
      </w:pPr>
      <w:r w:rsidRPr="000A16D7">
        <w:rPr>
          <w:rFonts w:cs="Arial"/>
          <w:b/>
          <w:color w:val="000000"/>
          <w:lang w:eastAsia="en-GB"/>
        </w:rPr>
        <w:t>Impact upon residential amenity</w:t>
      </w: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 xml:space="preserve">The works would result in some noise disturbance for the </w:t>
      </w:r>
      <w:r w:rsidR="000A16D7" w:rsidRPr="00E9095A">
        <w:rPr>
          <w:rFonts w:cs="Arial"/>
          <w:color w:val="000000"/>
          <w:lang w:eastAsia="en-GB"/>
        </w:rPr>
        <w:t>neighbouring</w:t>
      </w:r>
      <w:r w:rsidRPr="00E9095A">
        <w:rPr>
          <w:rFonts w:cs="Arial"/>
          <w:color w:val="000000"/>
          <w:lang w:eastAsia="en-GB"/>
        </w:rPr>
        <w:t xml:space="preserve"> </w:t>
      </w:r>
      <w:r w:rsidR="000A16D7" w:rsidRPr="00E9095A">
        <w:rPr>
          <w:rFonts w:cs="Arial"/>
          <w:color w:val="000000"/>
          <w:lang w:eastAsia="en-GB"/>
        </w:rPr>
        <w:t>property</w:t>
      </w:r>
      <w:r w:rsidRPr="00E9095A">
        <w:rPr>
          <w:rFonts w:cs="Arial"/>
          <w:color w:val="000000"/>
          <w:lang w:eastAsia="en-GB"/>
        </w:rPr>
        <w:t>, particularly on the west side, where there is a party wall.  However it is considered that there will be no long term disturbance or impact upon amenity as a result of the replaced roofing materials.  There works will not give rise to any impact it terms of overlooking, loss of outlook or overbearing extensions.  It is considered that the proposal is acceptable in terms of existing residential amenity of neighbouring properties.</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r w:rsidRPr="00E9095A">
        <w:rPr>
          <w:rFonts w:cs="Arial"/>
          <w:color w:val="000000"/>
          <w:lang w:eastAsia="en-GB"/>
        </w:rPr>
        <w:t>It is considered that in light of the above assessment the works are acceptable and it is recommended that the application is approved.</w:t>
      </w:r>
    </w:p>
    <w:p w:rsidR="00FB105E" w:rsidRPr="00E9095A" w:rsidRDefault="00FB105E" w:rsidP="00FB105E">
      <w:pPr>
        <w:autoSpaceDE w:val="0"/>
        <w:autoSpaceDN w:val="0"/>
        <w:spacing w:after="0" w:line="240" w:lineRule="auto"/>
        <w:jc w:val="both"/>
        <w:rPr>
          <w:rFonts w:cs="Arial"/>
          <w:color w:val="000000"/>
          <w:lang w:eastAsia="en-GB"/>
        </w:rPr>
      </w:pPr>
    </w:p>
    <w:p w:rsidR="00FB105E" w:rsidRPr="00E9095A" w:rsidRDefault="00FB105E" w:rsidP="00FB105E">
      <w:pPr>
        <w:autoSpaceDE w:val="0"/>
        <w:autoSpaceDN w:val="0"/>
        <w:spacing w:after="0" w:line="240" w:lineRule="auto"/>
        <w:jc w:val="both"/>
        <w:rPr>
          <w:rFonts w:cs="Arial"/>
          <w:color w:val="000000"/>
          <w:lang w:eastAsia="en-GB"/>
        </w:rPr>
      </w:pPr>
    </w:p>
    <w:tbl>
      <w:tblPr>
        <w:tblStyle w:val="TableGrid"/>
        <w:tblW w:w="0" w:type="auto"/>
        <w:tblInd w:w="0" w:type="dxa"/>
        <w:tblLook w:val="01E0" w:firstRow="1" w:lastRow="1" w:firstColumn="1" w:lastColumn="1" w:noHBand="0" w:noVBand="0"/>
      </w:tblPr>
      <w:tblGrid>
        <w:gridCol w:w="9323"/>
      </w:tblGrid>
      <w:tr w:rsidR="00FB105E" w:rsidRPr="00E9095A" w:rsidTr="00CB71C4">
        <w:tc>
          <w:tcPr>
            <w:tcW w:w="9854" w:type="dxa"/>
            <w:shd w:val="pct25" w:color="auto" w:fill="auto"/>
            <w:vAlign w:val="center"/>
          </w:tcPr>
          <w:p w:rsidR="00FB105E" w:rsidRPr="00FB105E" w:rsidRDefault="00FB105E" w:rsidP="00CB71C4">
            <w:pPr>
              <w:spacing w:before="60" w:after="60"/>
              <w:rPr>
                <w:rFonts w:ascii="Calibri" w:hAnsi="Calibri" w:cs="Arial"/>
                <w:b/>
                <w:bCs/>
                <w:color w:val="000000"/>
              </w:rPr>
            </w:pPr>
            <w:r w:rsidRPr="00FB105E">
              <w:rPr>
                <w:rFonts w:ascii="Calibri" w:hAnsi="Calibri" w:cs="Arial"/>
                <w:b/>
                <w:bCs/>
                <w:color w:val="000000"/>
              </w:rPr>
              <w:t>Recommendation:</w:t>
            </w:r>
          </w:p>
        </w:tc>
      </w:tr>
    </w:tbl>
    <w:p w:rsidR="00FB105E" w:rsidRDefault="00FB105E" w:rsidP="00FB105E">
      <w:pPr>
        <w:autoSpaceDE w:val="0"/>
        <w:autoSpaceDN w:val="0"/>
        <w:spacing w:after="0" w:line="240" w:lineRule="auto"/>
        <w:ind w:firstLine="49"/>
        <w:rPr>
          <w:rFonts w:cs="Arial"/>
          <w:color w:val="000000"/>
          <w:lang w:eastAsia="en-GB"/>
        </w:rPr>
      </w:pPr>
    </w:p>
    <w:p w:rsidR="000A16D7" w:rsidRPr="00E9095A" w:rsidRDefault="000A16D7" w:rsidP="00FB105E">
      <w:pPr>
        <w:autoSpaceDE w:val="0"/>
        <w:autoSpaceDN w:val="0"/>
        <w:spacing w:after="0" w:line="240" w:lineRule="auto"/>
        <w:ind w:firstLine="49"/>
        <w:rPr>
          <w:rFonts w:cs="Arial"/>
          <w:color w:val="000000"/>
          <w:lang w:eastAsia="en-GB"/>
        </w:rPr>
      </w:pPr>
      <w:r>
        <w:rPr>
          <w:rFonts w:cs="Arial"/>
          <w:color w:val="000000"/>
          <w:lang w:eastAsia="en-GB"/>
        </w:rPr>
        <w:t>Conditionally Approve</w:t>
      </w:r>
    </w:p>
    <w:p w:rsidR="000A16D7" w:rsidRDefault="000A16D7" w:rsidP="00FB105E">
      <w:pPr>
        <w:autoSpaceDE w:val="0"/>
        <w:autoSpaceDN w:val="0"/>
        <w:spacing w:after="0" w:line="240" w:lineRule="auto"/>
        <w:rPr>
          <w:rFonts w:cs="Arial"/>
          <w:b/>
          <w:color w:val="000000"/>
          <w:u w:val="single"/>
          <w:lang w:eastAsia="en-GB"/>
        </w:rPr>
      </w:pPr>
    </w:p>
    <w:p w:rsidR="00FB105E" w:rsidRPr="00E9095A" w:rsidRDefault="00FB105E" w:rsidP="00FB105E">
      <w:pPr>
        <w:autoSpaceDE w:val="0"/>
        <w:autoSpaceDN w:val="0"/>
        <w:spacing w:after="0" w:line="240" w:lineRule="auto"/>
        <w:rPr>
          <w:rFonts w:cs="Arial"/>
          <w:b/>
          <w:color w:val="000000"/>
          <w:u w:val="single"/>
          <w:lang w:eastAsia="en-GB"/>
        </w:rPr>
      </w:pPr>
      <w:r w:rsidRPr="00E9095A">
        <w:rPr>
          <w:rFonts w:cs="Arial"/>
          <w:b/>
          <w:color w:val="000000"/>
          <w:u w:val="single"/>
          <w:lang w:eastAsia="en-GB"/>
        </w:rPr>
        <w:t>ANY ADDITIONAL INFORMATION:</w:t>
      </w:r>
    </w:p>
    <w:p w:rsidR="00FB105E" w:rsidRPr="00E9095A" w:rsidRDefault="00FB105E" w:rsidP="000A16D7">
      <w:pPr>
        <w:keepLines/>
        <w:widowControl w:val="0"/>
        <w:tabs>
          <w:tab w:val="left" w:pos="720"/>
        </w:tabs>
        <w:autoSpaceDE w:val="0"/>
        <w:autoSpaceDN w:val="0"/>
        <w:spacing w:after="0" w:line="240" w:lineRule="auto"/>
        <w:rPr>
          <w:rFonts w:cs="Arial"/>
          <w:color w:val="000000"/>
          <w:lang w:eastAsia="en-GB"/>
        </w:rPr>
      </w:pP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r w:rsidRPr="00E9095A">
        <w:rPr>
          <w:rFonts w:cs="Arial"/>
          <w:color w:val="000000"/>
          <w:lang w:eastAsia="en-GB"/>
        </w:rPr>
        <w:t>•</w:t>
      </w:r>
      <w:r w:rsidRPr="00E9095A">
        <w:rPr>
          <w:rFonts w:cs="Arial"/>
          <w:color w:val="000000"/>
          <w:lang w:eastAsia="en-GB"/>
        </w:rPr>
        <w:tab/>
        <w:t>In dealing with this application, the Council of the Isles of Scilly has actively sought to work with the applicants in a positive and proactive manner, in accordance with paragraphs 186 and 187 of the NPPF.</w:t>
      </w:r>
    </w:p>
    <w:p w:rsidR="00FB105E" w:rsidRPr="00E9095A" w:rsidRDefault="00FB105E" w:rsidP="00FB105E">
      <w:pPr>
        <w:keepLines/>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widowControl w:val="0"/>
        <w:tabs>
          <w:tab w:val="left" w:pos="720"/>
        </w:tabs>
        <w:autoSpaceDE w:val="0"/>
        <w:autoSpaceDN w:val="0"/>
        <w:spacing w:after="0" w:line="240" w:lineRule="auto"/>
        <w:ind w:left="720" w:hanging="720"/>
        <w:rPr>
          <w:rFonts w:cs="Arial"/>
          <w:color w:val="000000"/>
          <w:lang w:eastAsia="en-GB"/>
        </w:rPr>
      </w:pPr>
    </w:p>
    <w:p w:rsidR="00FB105E" w:rsidRPr="00E9095A" w:rsidRDefault="00FB105E" w:rsidP="00FB105E">
      <w:pPr>
        <w:autoSpaceDE w:val="0"/>
        <w:autoSpaceDN w:val="0"/>
        <w:spacing w:after="0" w:line="240" w:lineRule="auto"/>
        <w:rPr>
          <w:rFonts w:cs="Arial"/>
          <w:color w:val="000000"/>
          <w:lang w:eastAsia="en-GB"/>
        </w:rPr>
      </w:pPr>
    </w:p>
    <w:tbl>
      <w:tblPr>
        <w:tblStyle w:val="TableGrid"/>
        <w:tblW w:w="0" w:type="auto"/>
        <w:tblInd w:w="-318" w:type="dxa"/>
        <w:tblLook w:val="04A0" w:firstRow="1" w:lastRow="0" w:firstColumn="1" w:lastColumn="0" w:noHBand="0" w:noVBand="1"/>
      </w:tblPr>
      <w:tblGrid>
        <w:gridCol w:w="3120"/>
        <w:gridCol w:w="1417"/>
        <w:gridCol w:w="3402"/>
        <w:gridCol w:w="1701"/>
      </w:tblGrid>
      <w:tr w:rsidR="00494095" w:rsidRPr="00494095" w:rsidTr="00494095">
        <w:tc>
          <w:tcPr>
            <w:tcW w:w="3120"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p w:rsidR="00494095" w:rsidRPr="00494095" w:rsidRDefault="00494095" w:rsidP="00494095">
            <w:pPr>
              <w:pStyle w:val="NoSpacing"/>
              <w:rPr>
                <w:rFonts w:asciiTheme="minorHAnsi" w:hAnsiTheme="minorHAnsi" w:cs="Calibri"/>
                <w:sz w:val="24"/>
              </w:rPr>
            </w:pPr>
          </w:p>
          <w:p w:rsidR="00494095" w:rsidRPr="00494095" w:rsidRDefault="00494095" w:rsidP="00494095">
            <w:pPr>
              <w:pStyle w:val="NoSpacing"/>
              <w:rPr>
                <w:rFonts w:asciiTheme="minorHAnsi" w:hAnsiTheme="minorHAnsi" w:cs="Calibri"/>
                <w:sz w:val="24"/>
              </w:rPr>
            </w:pPr>
          </w:p>
        </w:tc>
        <w:tc>
          <w:tcPr>
            <w:tcW w:w="1417"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c>
          <w:tcPr>
            <w:tcW w:w="3402" w:type="dxa"/>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Signed:</w:t>
            </w:r>
          </w:p>
        </w:tc>
        <w:tc>
          <w:tcPr>
            <w:tcW w:w="1701" w:type="dxa"/>
            <w:vMerge w:val="restart"/>
          </w:tcPr>
          <w:p w:rsidR="00494095" w:rsidRPr="00494095" w:rsidRDefault="00494095" w:rsidP="00494095">
            <w:pPr>
              <w:pStyle w:val="NoSpacing"/>
              <w:rPr>
                <w:rFonts w:asciiTheme="minorHAnsi" w:hAnsiTheme="minorHAnsi" w:cs="Calibri"/>
                <w:sz w:val="24"/>
              </w:rPr>
            </w:pPr>
            <w:r w:rsidRPr="00494095">
              <w:rPr>
                <w:rFonts w:asciiTheme="minorHAnsi" w:hAnsiTheme="minorHAnsi" w:cs="Calibri"/>
                <w:sz w:val="24"/>
              </w:rPr>
              <w:t>Dated:</w:t>
            </w:r>
          </w:p>
        </w:tc>
      </w:tr>
      <w:tr w:rsidR="00494095" w:rsidRPr="00494095" w:rsidTr="00494095">
        <w:tc>
          <w:tcPr>
            <w:tcW w:w="3120"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Planning Officer</w:t>
            </w:r>
          </w:p>
        </w:tc>
        <w:tc>
          <w:tcPr>
            <w:tcW w:w="1417" w:type="dxa"/>
            <w:vMerge/>
          </w:tcPr>
          <w:p w:rsidR="00494095" w:rsidRPr="00494095" w:rsidRDefault="00494095" w:rsidP="00494095">
            <w:pPr>
              <w:pStyle w:val="NoSpacing"/>
              <w:rPr>
                <w:rFonts w:asciiTheme="minorHAnsi" w:hAnsiTheme="minorHAnsi" w:cs="Calibri"/>
                <w:sz w:val="24"/>
              </w:rPr>
            </w:pPr>
          </w:p>
        </w:tc>
        <w:tc>
          <w:tcPr>
            <w:tcW w:w="3402" w:type="dxa"/>
            <w:shd w:val="clear" w:color="auto" w:fill="808080" w:themeFill="background1" w:themeFillShade="80"/>
          </w:tcPr>
          <w:p w:rsidR="00494095" w:rsidRPr="00494095" w:rsidRDefault="00494095" w:rsidP="00494095">
            <w:pPr>
              <w:pStyle w:val="NoSpacing"/>
              <w:rPr>
                <w:rFonts w:asciiTheme="minorHAnsi" w:hAnsiTheme="minorHAnsi" w:cs="Calibri"/>
                <w:color w:val="FFFFFF" w:themeColor="background1"/>
                <w:sz w:val="24"/>
              </w:rPr>
            </w:pPr>
            <w:r w:rsidRPr="00494095">
              <w:rPr>
                <w:rFonts w:asciiTheme="minorHAnsi" w:hAnsiTheme="minorHAnsi" w:cs="Calibri"/>
                <w:color w:val="FFFFFF" w:themeColor="background1"/>
                <w:sz w:val="24"/>
              </w:rPr>
              <w:t>Senior Manager</w:t>
            </w:r>
          </w:p>
        </w:tc>
        <w:tc>
          <w:tcPr>
            <w:tcW w:w="1701" w:type="dxa"/>
            <w:vMerge/>
          </w:tcPr>
          <w:p w:rsidR="00494095" w:rsidRPr="00494095" w:rsidRDefault="00494095" w:rsidP="00FB105E">
            <w:pPr>
              <w:pStyle w:val="NoSpacing"/>
              <w:jc w:val="center"/>
              <w:rPr>
                <w:rFonts w:asciiTheme="minorHAnsi" w:hAnsiTheme="minorHAnsi" w:cs="Calibri"/>
                <w:sz w:val="24"/>
              </w:rPr>
            </w:pPr>
          </w:p>
        </w:tc>
      </w:tr>
    </w:tbl>
    <w:p w:rsidR="00313516" w:rsidRPr="0068073B" w:rsidRDefault="00313516" w:rsidP="00FB105E">
      <w:pPr>
        <w:pStyle w:val="NoSpacing"/>
        <w:jc w:val="center"/>
        <w:rPr>
          <w:rFonts w:ascii="Arial" w:hAnsi="Arial" w:cs="Arial"/>
          <w:sz w:val="24"/>
        </w:rPr>
      </w:pPr>
    </w:p>
    <w:sectPr w:rsidR="00313516" w:rsidRPr="0068073B" w:rsidSect="00DE05EB">
      <w:headerReference w:type="default" r:id="rId7"/>
      <w:footerReference w:type="default" r:id="rId8"/>
      <w:headerReference w:type="first" r:id="rId9"/>
      <w:footerReference w:type="first" r:id="rId10"/>
      <w:pgSz w:w="11906" w:h="16838"/>
      <w:pgMar w:top="851" w:right="1133" w:bottom="1440" w:left="1440" w:header="708" w:footer="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5137" w:rsidRDefault="003C5137" w:rsidP="0080677F">
      <w:pPr>
        <w:spacing w:after="0" w:line="240" w:lineRule="auto"/>
      </w:pPr>
      <w:r>
        <w:separator/>
      </w:r>
    </w:p>
  </w:endnote>
  <w:endnote w:type="continuationSeparator" w:id="0">
    <w:p w:rsidR="003C5137" w:rsidRDefault="003C5137" w:rsidP="00806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Pr="00033D08" w:rsidRDefault="002765BB" w:rsidP="00DE05EB">
    <w:pPr>
      <w:pStyle w:val="Footer"/>
      <w:pBdr>
        <w:top w:val="single" w:sz="4" w:space="1" w:color="016B95"/>
      </w:pBdr>
      <w:jc w:val="center"/>
      <w:rPr>
        <w:color w:val="016B95"/>
      </w:rPr>
    </w:pPr>
    <w:r w:rsidRPr="00033D08">
      <w:rPr>
        <w:color w:val="016B95"/>
      </w:rPr>
      <w:t>...working for a strong, sustainable and dynamic island community</w:t>
    </w:r>
  </w:p>
  <w:p w:rsidR="002765BB" w:rsidRDefault="002765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5137" w:rsidRDefault="003C5137" w:rsidP="0080677F">
      <w:pPr>
        <w:spacing w:after="0" w:line="240" w:lineRule="auto"/>
      </w:pPr>
      <w:r>
        <w:separator/>
      </w:r>
    </w:p>
  </w:footnote>
  <w:footnote w:type="continuationSeparator" w:id="0">
    <w:p w:rsidR="003C5137" w:rsidRDefault="003C5137" w:rsidP="00806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pPr>
      <w:pStyle w:val="Header"/>
    </w:pPr>
  </w:p>
  <w:p w:rsidR="002765BB" w:rsidRDefault="002765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5BB" w:rsidRDefault="002765BB" w:rsidP="00DE05EB">
    <w:pPr>
      <w:widowControl w:val="0"/>
      <w:pBdr>
        <w:bottom w:val="single" w:sz="4" w:space="1" w:color="016B95"/>
      </w:pBdr>
      <w:spacing w:before="24" w:after="60" w:line="274" w:lineRule="auto"/>
      <w:ind w:left="981" w:firstLine="720"/>
      <w:jc w:val="right"/>
      <w:rPr>
        <w:rFonts w:ascii="Times New Roman" w:hAnsi="Times New Roman"/>
        <w:color w:val="000000"/>
        <w:sz w:val="20"/>
        <w:szCs w:val="20"/>
      </w:rPr>
    </w:pPr>
    <w:r>
      <w:br/>
    </w:r>
    <w:r w:rsidR="000A16D7">
      <w:rPr>
        <w:noProof/>
        <w:lang w:eastAsia="en-GB"/>
      </w:rPr>
      <w:drawing>
        <wp:anchor distT="0" distB="0" distL="114300" distR="114300" simplePos="0" relativeHeight="251659264" behindDoc="0" locked="0" layoutInCell="1" allowOverlap="1">
          <wp:simplePos x="0" y="0"/>
          <wp:positionH relativeFrom="column">
            <wp:posOffset>-390525</wp:posOffset>
          </wp:positionH>
          <wp:positionV relativeFrom="paragraph">
            <wp:posOffset>-87630</wp:posOffset>
          </wp:positionV>
          <wp:extent cx="1209675" cy="1495425"/>
          <wp:effectExtent l="0" t="0" r="9525" b="9525"/>
          <wp:wrapThrough wrapText="bothSides">
            <wp:wrapPolygon edited="0">
              <wp:start x="0" y="0"/>
              <wp:lineTo x="0" y="21462"/>
              <wp:lineTo x="21430" y="21462"/>
              <wp:lineTo x="21430" y="0"/>
              <wp:lineTo x="0" y="0"/>
            </wp:wrapPolygon>
          </wp:wrapThrough>
          <wp:docPr id="1" name="Picture 2" descr="O:\Leaflet &amp; Print Review\Logo\Blue - logo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eaflet &amp; Print Review\Logo\Blue - logo onl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color w:val="006B9B"/>
        <w:sz w:val="44"/>
        <w:szCs w:val="44"/>
      </w:rPr>
      <w:t>COUNCIL OF THE ISLES OF SCILLY</w:t>
    </w:r>
  </w:p>
  <w:p w:rsidR="002765BB" w:rsidRDefault="002765BB" w:rsidP="00DE05EB">
    <w:pPr>
      <w:widowControl w:val="0"/>
      <w:spacing w:before="40" w:after="0" w:line="240" w:lineRule="auto"/>
      <w:ind w:left="1701"/>
      <w:jc w:val="right"/>
      <w:rPr>
        <w:color w:val="006B9B"/>
        <w:sz w:val="24"/>
        <w:szCs w:val="24"/>
      </w:rPr>
    </w:pPr>
    <w:r>
      <w:rPr>
        <w:color w:val="006B9B"/>
        <w:sz w:val="24"/>
        <w:szCs w:val="24"/>
      </w:rPr>
      <w:t>Planning &amp; Development Department</w:t>
    </w:r>
  </w:p>
  <w:p w:rsidR="002765BB" w:rsidRDefault="00C5351C" w:rsidP="00DE05EB">
    <w:pPr>
      <w:widowControl w:val="0"/>
      <w:spacing w:before="40" w:after="0" w:line="240" w:lineRule="auto"/>
      <w:ind w:left="1701"/>
      <w:jc w:val="right"/>
    </w:pPr>
    <w:r>
      <w:rPr>
        <w:color w:val="006B9B"/>
        <w:sz w:val="24"/>
        <w:szCs w:val="24"/>
      </w:rPr>
      <w:t>Town Hall, The Parade</w:t>
    </w:r>
    <w:r w:rsidR="002765BB">
      <w:rPr>
        <w:color w:val="006B9B"/>
        <w:sz w:val="24"/>
        <w:szCs w:val="24"/>
      </w:rPr>
      <w:t>, St Mary’s, Isles of Scilly, TR21 0</w:t>
    </w:r>
    <w:r>
      <w:rPr>
        <w:color w:val="006B9B"/>
        <w:sz w:val="24"/>
        <w:szCs w:val="24"/>
      </w:rPr>
      <w:t>LW</w:t>
    </w:r>
    <w:r w:rsidR="002765BB">
      <w:rPr>
        <w:color w:val="006B9B"/>
        <w:sz w:val="24"/>
        <w:szCs w:val="24"/>
      </w:rPr>
      <w:br/>
    </w:r>
    <w:r w:rsidR="002765BB">
      <w:rPr>
        <w:rFonts w:ascii="Wingdings" w:hAnsi="Wingdings"/>
        <w:color w:val="006B9B"/>
        <w:sz w:val="24"/>
        <w:szCs w:val="24"/>
      </w:rPr>
      <w:t></w:t>
    </w:r>
    <w:r w:rsidR="002765BB">
      <w:rPr>
        <w:color w:val="006B9B"/>
        <w:sz w:val="24"/>
        <w:szCs w:val="24"/>
      </w:rPr>
      <w:t>01720 424350</w:t>
    </w:r>
    <w:r w:rsidR="002765BB">
      <w:rPr>
        <w:color w:val="006B9B"/>
        <w:sz w:val="24"/>
        <w:szCs w:val="24"/>
      </w:rPr>
      <w:br/>
    </w:r>
    <w:r w:rsidR="002765BB">
      <w:rPr>
        <w:rFonts w:ascii="Wingdings 2" w:hAnsi="Wingdings 2"/>
        <w:color w:val="006B9B"/>
        <w:sz w:val="24"/>
        <w:szCs w:val="24"/>
      </w:rPr>
      <w:t></w:t>
    </w:r>
    <w:r w:rsidR="002765BB">
      <w:rPr>
        <w:color w:val="006B9B"/>
        <w:sz w:val="24"/>
        <w:szCs w:val="24"/>
      </w:rPr>
      <w:t>planning@scilly.gov.uk</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2A"/>
    <w:rsid w:val="000063B6"/>
    <w:rsid w:val="0001537F"/>
    <w:rsid w:val="00033D08"/>
    <w:rsid w:val="0004351B"/>
    <w:rsid w:val="0006672D"/>
    <w:rsid w:val="000A0B0A"/>
    <w:rsid w:val="000A16D7"/>
    <w:rsid w:val="001013CE"/>
    <w:rsid w:val="00113B2A"/>
    <w:rsid w:val="00143D67"/>
    <w:rsid w:val="0019222A"/>
    <w:rsid w:val="001A5CFD"/>
    <w:rsid w:val="001D0E8C"/>
    <w:rsid w:val="001D5BCF"/>
    <w:rsid w:val="002173AD"/>
    <w:rsid w:val="0023685D"/>
    <w:rsid w:val="002518AB"/>
    <w:rsid w:val="002765BB"/>
    <w:rsid w:val="003103EC"/>
    <w:rsid w:val="00313516"/>
    <w:rsid w:val="00331831"/>
    <w:rsid w:val="00394184"/>
    <w:rsid w:val="003951A8"/>
    <w:rsid w:val="003A79E8"/>
    <w:rsid w:val="003C2784"/>
    <w:rsid w:val="003C37CF"/>
    <w:rsid w:val="003C5137"/>
    <w:rsid w:val="003E26AB"/>
    <w:rsid w:val="00400FCE"/>
    <w:rsid w:val="004200D3"/>
    <w:rsid w:val="00423200"/>
    <w:rsid w:val="004265D7"/>
    <w:rsid w:val="00454C43"/>
    <w:rsid w:val="0046017C"/>
    <w:rsid w:val="0046053F"/>
    <w:rsid w:val="0046327C"/>
    <w:rsid w:val="0048509D"/>
    <w:rsid w:val="00494095"/>
    <w:rsid w:val="004B4C44"/>
    <w:rsid w:val="004B53A9"/>
    <w:rsid w:val="004B6B2E"/>
    <w:rsid w:val="0052735D"/>
    <w:rsid w:val="00553832"/>
    <w:rsid w:val="00571047"/>
    <w:rsid w:val="00573D8D"/>
    <w:rsid w:val="005A740A"/>
    <w:rsid w:val="005B1E23"/>
    <w:rsid w:val="00624A7D"/>
    <w:rsid w:val="0068073B"/>
    <w:rsid w:val="00686696"/>
    <w:rsid w:val="00722ABF"/>
    <w:rsid w:val="007365F5"/>
    <w:rsid w:val="007434F2"/>
    <w:rsid w:val="00764C7D"/>
    <w:rsid w:val="007A0283"/>
    <w:rsid w:val="007A3CF2"/>
    <w:rsid w:val="00802321"/>
    <w:rsid w:val="00802FD8"/>
    <w:rsid w:val="0080677F"/>
    <w:rsid w:val="00806862"/>
    <w:rsid w:val="00812A90"/>
    <w:rsid w:val="0084300F"/>
    <w:rsid w:val="008552A2"/>
    <w:rsid w:val="00863CF6"/>
    <w:rsid w:val="0086774B"/>
    <w:rsid w:val="00877664"/>
    <w:rsid w:val="00887FFD"/>
    <w:rsid w:val="00894850"/>
    <w:rsid w:val="008B06AF"/>
    <w:rsid w:val="008B60C0"/>
    <w:rsid w:val="00901B0D"/>
    <w:rsid w:val="00902855"/>
    <w:rsid w:val="0093097C"/>
    <w:rsid w:val="0093102A"/>
    <w:rsid w:val="0096030F"/>
    <w:rsid w:val="00966B27"/>
    <w:rsid w:val="00971A37"/>
    <w:rsid w:val="00982D45"/>
    <w:rsid w:val="009866ED"/>
    <w:rsid w:val="0099452A"/>
    <w:rsid w:val="009B7200"/>
    <w:rsid w:val="009E773C"/>
    <w:rsid w:val="00A261C2"/>
    <w:rsid w:val="00A43B4F"/>
    <w:rsid w:val="00A57D80"/>
    <w:rsid w:val="00AA4821"/>
    <w:rsid w:val="00AE1267"/>
    <w:rsid w:val="00AF06A2"/>
    <w:rsid w:val="00AF7FF5"/>
    <w:rsid w:val="00B4129D"/>
    <w:rsid w:val="00B44F36"/>
    <w:rsid w:val="00B56CC4"/>
    <w:rsid w:val="00BA627D"/>
    <w:rsid w:val="00BB4135"/>
    <w:rsid w:val="00C373EE"/>
    <w:rsid w:val="00C379D9"/>
    <w:rsid w:val="00C5351C"/>
    <w:rsid w:val="00C77169"/>
    <w:rsid w:val="00C8054D"/>
    <w:rsid w:val="00C83AAF"/>
    <w:rsid w:val="00CA0D98"/>
    <w:rsid w:val="00CA1204"/>
    <w:rsid w:val="00CB3211"/>
    <w:rsid w:val="00CB71C4"/>
    <w:rsid w:val="00CC44C6"/>
    <w:rsid w:val="00CE3EA5"/>
    <w:rsid w:val="00D00745"/>
    <w:rsid w:val="00D45536"/>
    <w:rsid w:val="00D84AEA"/>
    <w:rsid w:val="00D922AD"/>
    <w:rsid w:val="00D934EE"/>
    <w:rsid w:val="00DB0720"/>
    <w:rsid w:val="00DB5E75"/>
    <w:rsid w:val="00DC6B03"/>
    <w:rsid w:val="00DD77A2"/>
    <w:rsid w:val="00DE05EB"/>
    <w:rsid w:val="00DE4ED2"/>
    <w:rsid w:val="00DF787C"/>
    <w:rsid w:val="00E14EA3"/>
    <w:rsid w:val="00E1587A"/>
    <w:rsid w:val="00E4519D"/>
    <w:rsid w:val="00E73D64"/>
    <w:rsid w:val="00E9095A"/>
    <w:rsid w:val="00EA3FDC"/>
    <w:rsid w:val="00EA689E"/>
    <w:rsid w:val="00EC14BE"/>
    <w:rsid w:val="00EE31C4"/>
    <w:rsid w:val="00EE4778"/>
    <w:rsid w:val="00F02BD3"/>
    <w:rsid w:val="00F14739"/>
    <w:rsid w:val="00F43E4D"/>
    <w:rsid w:val="00F51B44"/>
    <w:rsid w:val="00F70C28"/>
    <w:rsid w:val="00F7718F"/>
    <w:rsid w:val="00F837C3"/>
    <w:rsid w:val="00FA31F3"/>
    <w:rsid w:val="00FA4102"/>
    <w:rsid w:val="00FA44B7"/>
    <w:rsid w:val="00FB105E"/>
    <w:rsid w:val="00FC6414"/>
    <w:rsid w:val="00FE42E3"/>
    <w:rsid w:val="00FF56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15:docId w15:val="{FD520988-85E0-42EF-9E18-B9218407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6A2"/>
    <w:pPr>
      <w:spacing w:after="200" w:line="276" w:lineRule="auto"/>
    </w:pPr>
    <w:rPr>
      <w:rFonts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77F"/>
    <w:pPr>
      <w:tabs>
        <w:tab w:val="center" w:pos="4513"/>
        <w:tab w:val="right" w:pos="9026"/>
      </w:tabs>
    </w:pPr>
  </w:style>
  <w:style w:type="character" w:customStyle="1" w:styleId="HeaderChar">
    <w:name w:val="Header Char"/>
    <w:basedOn w:val="DefaultParagraphFont"/>
    <w:link w:val="Header"/>
    <w:uiPriority w:val="99"/>
    <w:locked/>
    <w:rsid w:val="0080677F"/>
    <w:rPr>
      <w:rFonts w:cs="Times New Roman"/>
    </w:rPr>
  </w:style>
  <w:style w:type="paragraph" w:styleId="Footer">
    <w:name w:val="footer"/>
    <w:basedOn w:val="Normal"/>
    <w:link w:val="FooterChar"/>
    <w:uiPriority w:val="99"/>
    <w:unhideWhenUsed/>
    <w:rsid w:val="0080677F"/>
    <w:pPr>
      <w:tabs>
        <w:tab w:val="center" w:pos="4513"/>
        <w:tab w:val="right" w:pos="9026"/>
      </w:tabs>
    </w:pPr>
  </w:style>
  <w:style w:type="character" w:customStyle="1" w:styleId="FooterChar">
    <w:name w:val="Footer Char"/>
    <w:basedOn w:val="DefaultParagraphFont"/>
    <w:link w:val="Footer"/>
    <w:uiPriority w:val="99"/>
    <w:locked/>
    <w:rsid w:val="0080677F"/>
    <w:rPr>
      <w:rFonts w:cs="Times New Roman"/>
    </w:rPr>
  </w:style>
  <w:style w:type="paragraph" w:styleId="BalloonText">
    <w:name w:val="Balloon Text"/>
    <w:basedOn w:val="Normal"/>
    <w:link w:val="BalloonTextChar"/>
    <w:uiPriority w:val="99"/>
    <w:semiHidden/>
    <w:unhideWhenUsed/>
    <w:rsid w:val="00C80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8054D"/>
    <w:rPr>
      <w:rFonts w:ascii="Tahoma" w:hAnsi="Tahoma" w:cs="Tahoma"/>
      <w:sz w:val="16"/>
      <w:szCs w:val="16"/>
    </w:rPr>
  </w:style>
  <w:style w:type="paragraph" w:styleId="DocumentMap">
    <w:name w:val="Document Map"/>
    <w:basedOn w:val="Normal"/>
    <w:link w:val="DocumentMapChar"/>
    <w:uiPriority w:val="99"/>
    <w:semiHidden/>
    <w:unhideWhenUsed/>
    <w:rsid w:val="001013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1013CE"/>
    <w:rPr>
      <w:rFonts w:ascii="Tahoma" w:hAnsi="Tahoma" w:cs="Tahoma"/>
      <w:sz w:val="16"/>
      <w:szCs w:val="16"/>
      <w:lang w:val="x-none" w:eastAsia="en-US"/>
    </w:rPr>
  </w:style>
  <w:style w:type="paragraph" w:styleId="NoSpacing">
    <w:name w:val="No Spacing"/>
    <w:uiPriority w:val="1"/>
    <w:qFormat/>
    <w:rsid w:val="00764C7D"/>
    <w:rPr>
      <w:rFonts w:cs="Times New Roman"/>
      <w:sz w:val="22"/>
      <w:szCs w:val="22"/>
      <w:lang w:eastAsia="en-US"/>
    </w:rPr>
  </w:style>
  <w:style w:type="character" w:styleId="Hyperlink">
    <w:name w:val="Hyperlink"/>
    <w:basedOn w:val="DefaultParagraphFont"/>
    <w:uiPriority w:val="99"/>
    <w:unhideWhenUsed/>
    <w:rsid w:val="004B6B2E"/>
    <w:rPr>
      <w:rFonts w:cs="Times New Roman"/>
      <w:color w:val="0000FF" w:themeColor="hyperlink"/>
      <w:u w:val="single"/>
    </w:rPr>
  </w:style>
  <w:style w:type="table" w:styleId="TableGrid">
    <w:name w:val="Table Grid"/>
    <w:basedOn w:val="TableNormal"/>
    <w:uiPriority w:val="99"/>
    <w:rsid w:val="00FB105E"/>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5736">
      <w:marLeft w:val="0"/>
      <w:marRight w:val="0"/>
      <w:marTop w:val="0"/>
      <w:marBottom w:val="0"/>
      <w:divBdr>
        <w:top w:val="none" w:sz="0" w:space="0" w:color="auto"/>
        <w:left w:val="none" w:sz="0" w:space="0" w:color="auto"/>
        <w:bottom w:val="none" w:sz="0" w:space="0" w:color="auto"/>
        <w:right w:val="none" w:sz="0" w:space="0" w:color="auto"/>
      </w:divBdr>
    </w:div>
    <w:div w:id="21245737">
      <w:marLeft w:val="0"/>
      <w:marRight w:val="0"/>
      <w:marTop w:val="0"/>
      <w:marBottom w:val="0"/>
      <w:divBdr>
        <w:top w:val="none" w:sz="0" w:space="0" w:color="auto"/>
        <w:left w:val="none" w:sz="0" w:space="0" w:color="auto"/>
        <w:bottom w:val="none" w:sz="0" w:space="0" w:color="auto"/>
        <w:right w:val="none" w:sz="0" w:space="0" w:color="auto"/>
      </w:divBdr>
    </w:div>
    <w:div w:id="212457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P:\Planning%20Admin\Letterheads%20&amp;%20Templates\Planning%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5369A-41BB-40A5-AF13-FA89680B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Planning Letterhead</Template>
  <TotalTime>1</TotalTime>
  <Pages>3</Pages>
  <Words>1175</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Council of the Isles of Scilly</Company>
  <LinksUpToDate>false</LinksUpToDate>
  <CharactersWithSpaces>7353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grahamv</dc:creator>
  <cp:lastModifiedBy>lisaw</cp:lastModifiedBy>
  <cp:revision>3</cp:revision>
  <cp:lastPrinted>2016-04-26T13:18:00Z</cp:lastPrinted>
  <dcterms:created xsi:type="dcterms:W3CDTF">2016-04-26T13:17:00Z</dcterms:created>
  <dcterms:modified xsi:type="dcterms:W3CDTF">2016-04-26T13:18:00Z</dcterms:modified>
</cp:coreProperties>
</file>