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P/16/018/FUL</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27 April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23 February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23 March 2016</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000192002404</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r w:rsidR="000F7E44">
              <w:rPr>
                <w:rFonts w:cs="Arial"/>
                <w:b/>
                <w:bCs/>
                <w:color w:val="000000"/>
                <w:sz w:val="18"/>
                <w:szCs w:val="18"/>
                <w:lang w:eastAsia="en-GB"/>
              </w:rPr>
              <w:t>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3 March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r w:rsidR="000F7E44">
              <w:rPr>
                <w:rFonts w:cs="Arial"/>
                <w:b/>
                <w:bCs/>
                <w:color w:val="000000"/>
                <w:sz w:val="18"/>
                <w:szCs w:val="18"/>
                <w:lang w:eastAsia="en-GB"/>
              </w:rPr>
              <w:t>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24 March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0F7E44" w:rsidP="00CB71C4">
            <w:pPr>
              <w:autoSpaceDE w:val="0"/>
              <w:autoSpaceDN w:val="0"/>
              <w:spacing w:before="60" w:after="60" w:line="240" w:lineRule="auto"/>
              <w:rPr>
                <w:rFonts w:cs="Arial"/>
                <w:b/>
                <w:bCs/>
                <w:color w:val="000000"/>
                <w:sz w:val="18"/>
                <w:szCs w:val="18"/>
                <w:lang w:eastAsia="en-GB"/>
              </w:rPr>
            </w:pPr>
            <w:r>
              <w:rPr>
                <w:rFonts w:cs="Arial"/>
                <w:b/>
                <w:bCs/>
                <w:color w:val="000000"/>
                <w:sz w:val="18"/>
                <w:szCs w:val="18"/>
                <w:lang w:eastAsia="en-GB"/>
              </w:rPr>
              <w:t>y</w:t>
            </w: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The Co-operative Group The Co-operative Group</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Co-operative Retail Services Ltd</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Hugh Street</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Hugh 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Mary's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TR21 0LL</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The reconfiguration of the existing entrance door and the installation of a new auto-sliding exit door and adjacent shop-front/stallriser section to accommodate.</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This is an application for planning permission to reconfigure the existing entrance door to remove the step in to the shop and create a ramp within.  The exit door will have a new auto-sliding door.  The doors will be retained in their current position and provide access and egress from the Shop on to Hugh Street.  No external steps, handrails or ramps are proposed on the narrow pavement outside the Co-op store.</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w:t>
      </w:r>
      <w:r w:rsidR="000F7E44" w:rsidRPr="00E9095A">
        <w:rPr>
          <w:rFonts w:cs="Arial"/>
          <w:color w:val="000000"/>
          <w:lang w:eastAsia="en-GB"/>
        </w:rPr>
        <w:t>application</w:t>
      </w:r>
      <w:r w:rsidRPr="00E9095A">
        <w:rPr>
          <w:rFonts w:cs="Arial"/>
          <w:color w:val="000000"/>
          <w:lang w:eastAsia="en-GB"/>
        </w:rPr>
        <w:t xml:space="preserve"> site is located at the existing Co-op supermarket on Hugh Street, on the north side of the road within Hugh Town on St Mary's.  No other extension</w:t>
      </w:r>
      <w:r w:rsidR="000F7E44">
        <w:rPr>
          <w:rFonts w:cs="Arial"/>
          <w:color w:val="000000"/>
          <w:lang w:eastAsia="en-GB"/>
        </w:rPr>
        <w:t>s</w:t>
      </w:r>
      <w:r w:rsidRPr="00E9095A">
        <w:rPr>
          <w:rFonts w:cs="Arial"/>
          <w:color w:val="000000"/>
          <w:lang w:eastAsia="en-GB"/>
        </w:rPr>
        <w:t xml:space="preserve"> are proposed to the front of the shop.</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None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0F7E44" w:rsidRDefault="000F7E44" w:rsidP="00FB105E">
      <w:pPr>
        <w:autoSpaceDE w:val="0"/>
        <w:autoSpaceDN w:val="0"/>
        <w:spacing w:after="0" w:line="240" w:lineRule="auto"/>
        <w:jc w:val="both"/>
        <w:rPr>
          <w:rFonts w:cs="Arial"/>
          <w:color w:val="000000"/>
          <w:lang w:eastAsia="en-GB"/>
        </w:rPr>
      </w:pPr>
      <w:r>
        <w:rPr>
          <w:rFonts w:cs="Arial"/>
          <w:color w:val="000000"/>
          <w:lang w:eastAsia="en-GB"/>
        </w:rPr>
        <w:t xml:space="preserve">  </w:t>
      </w:r>
    </w:p>
    <w:p w:rsidR="00FB105E" w:rsidRPr="00E9095A" w:rsidRDefault="00FB105E" w:rsidP="000F7E44">
      <w:pPr>
        <w:autoSpaceDE w:val="0"/>
        <w:autoSpaceDN w:val="0"/>
        <w:spacing w:after="0" w:line="240" w:lineRule="auto"/>
        <w:jc w:val="both"/>
        <w:rPr>
          <w:rFonts w:cs="Arial"/>
          <w:color w:val="000000"/>
          <w:lang w:eastAsia="en-GB"/>
        </w:rPr>
      </w:pPr>
      <w:r w:rsidRPr="00E9095A">
        <w:rPr>
          <w:rFonts w:cs="Arial"/>
          <w:color w:val="000000"/>
          <w:lang w:eastAsia="en-GB"/>
        </w:rPr>
        <w:t>NONE</w:t>
      </w: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lastRenderedPageBreak/>
              <w:t>Constraints and designations:</w:t>
            </w:r>
          </w:p>
        </w:tc>
      </w:tr>
    </w:tbl>
    <w:p w:rsidR="00FB105E" w:rsidRPr="00E9095A" w:rsidRDefault="00FB105E" w:rsidP="00FB105E">
      <w:pPr>
        <w:autoSpaceDE w:val="0"/>
        <w:autoSpaceDN w:val="0"/>
        <w:spacing w:after="0" w:line="240" w:lineRule="auto"/>
        <w:ind w:left="3960" w:hanging="3960"/>
        <w:jc w:val="both"/>
        <w:rPr>
          <w:rFonts w:cs="Arial"/>
          <w:color w:val="000000"/>
          <w:lang w:eastAsia="en-GB"/>
        </w:rPr>
      </w:pPr>
    </w:p>
    <w:p w:rsidR="00FB105E" w:rsidRPr="00E9095A" w:rsidRDefault="000F7E44" w:rsidP="00FB105E">
      <w:pPr>
        <w:autoSpaceDE w:val="0"/>
        <w:autoSpaceDN w:val="0"/>
        <w:spacing w:after="0" w:line="240" w:lineRule="auto"/>
        <w:ind w:left="3960" w:hanging="3960"/>
        <w:jc w:val="both"/>
        <w:rPr>
          <w:rFonts w:cs="Arial"/>
          <w:color w:val="000000"/>
          <w:lang w:eastAsia="en-GB"/>
        </w:rPr>
      </w:pPr>
      <w:r>
        <w:rPr>
          <w:rFonts w:cs="Arial"/>
          <w:color w:val="000000"/>
          <w:lang w:eastAsia="en-GB"/>
        </w:rPr>
        <w:t>Conservation Area, Heritage Coast, AONB</w:t>
      </w:r>
      <w:r w:rsidR="00FB105E" w:rsidRPr="00E9095A">
        <w:rPr>
          <w:rFonts w:cs="Arial"/>
          <w:color w:val="000000"/>
          <w:lang w:eastAsia="en-GB"/>
        </w:rPr>
        <w:tab/>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General Policy 1 of the Isles of Scilly Local Plan 2005 relates to Environmental Protection and requires that development proposals </w:t>
      </w:r>
      <w:r w:rsidR="000F7E44" w:rsidRPr="00E9095A">
        <w:rPr>
          <w:rFonts w:cs="Arial"/>
          <w:color w:val="000000"/>
          <w:lang w:eastAsia="en-GB"/>
        </w:rPr>
        <w:t>respect</w:t>
      </w:r>
      <w:r w:rsidRPr="00E9095A">
        <w:rPr>
          <w:rFonts w:cs="Arial"/>
          <w:color w:val="000000"/>
          <w:lang w:eastAsia="en-GB"/>
        </w:rPr>
        <w:t xml:space="preserve"> and protect the recognised quality of the islands' natural, archaeological, historic and built environment.</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Policy 4 relates to Economic Development and seeks to support employment and economic activity by providing opportunities for businesses to support viable communities.</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principal consideration for this application is whether the proposal amounts to significant harm to the wider amenity and character of the area or whether the it would result in a preservation or enhancement of the conservation area.   It is not considered necessary to assess the impact of the proposals on residential amenity as the modifications are primarily internal with only external changes being made to the existing doors of the co-op.  Similarly it is not considered necessary to assess the impact of the proposal on the setting of the listed buildings opposite and in the general vicinity of this site.</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Impact upon the character of the area.</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Co-op store is a 2 storey building on the end of a terrace of existing properties on the north side of Hugh Street.  It is asymmetrical in terms of fenestration with large shop windows and two doors on the ground floor, windows on the first floor and dormer windows in the roofspace.  It is a cream rendered building attached to a row of flat-roof granite properties to the north west side.  The main access in to and exit out of the co-op are immediately to the back edge of the pavement.  The entrance steps up from the pavement and the exit steps down.  Both doors open inwards.</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It is considered that the reconfiguration of the existing doors will enable customers, particularly those with wheelchair and pushchairs, using the store to enter and leave the store without impediment and without any significant changes to the external appearance of the shop.</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It is considered that the application will preserve the wider character of the conservation area and will not result in any harm to the wider amenity and public realm of Hugh Town.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application is recommended for approval</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0F7E44" w:rsidRDefault="000F7E44" w:rsidP="00FB105E">
      <w:pPr>
        <w:autoSpaceDE w:val="0"/>
        <w:autoSpaceDN w:val="0"/>
        <w:spacing w:after="0" w:line="240" w:lineRule="auto"/>
        <w:ind w:firstLine="49"/>
        <w:rPr>
          <w:rFonts w:cs="Arial"/>
          <w:color w:val="000000"/>
          <w:lang w:eastAsia="en-GB"/>
        </w:rPr>
      </w:pPr>
    </w:p>
    <w:p w:rsidR="00FB105E" w:rsidRPr="00E9095A" w:rsidRDefault="000F7E44" w:rsidP="00FB105E">
      <w:pPr>
        <w:autoSpaceDE w:val="0"/>
        <w:autoSpaceDN w:val="0"/>
        <w:spacing w:after="0" w:line="240" w:lineRule="auto"/>
        <w:ind w:firstLine="49"/>
        <w:rPr>
          <w:rFonts w:cs="Arial"/>
          <w:color w:val="000000"/>
          <w:lang w:eastAsia="en-GB"/>
        </w:rPr>
      </w:pPr>
      <w:bookmarkStart w:id="0" w:name="_GoBack"/>
      <w:bookmarkEnd w:id="0"/>
      <w:r>
        <w:rPr>
          <w:rFonts w:cs="Arial"/>
          <w:color w:val="000000"/>
          <w:lang w:eastAsia="en-GB"/>
        </w:rPr>
        <w:t>Conditionally Approve</w:t>
      </w:r>
    </w:p>
    <w:p w:rsidR="00FB105E" w:rsidRPr="00E9095A" w:rsidRDefault="00FB105E" w:rsidP="00FB105E">
      <w:pPr>
        <w:autoSpaceDE w:val="0"/>
        <w:autoSpaceDN w:val="0"/>
        <w:spacing w:after="0" w:line="240" w:lineRule="auto"/>
        <w:ind w:firstLine="49"/>
        <w:rPr>
          <w:rFonts w:cs="Arial"/>
          <w:color w:val="000000"/>
          <w:lang w:eastAsia="en-GB"/>
        </w:rPr>
      </w:pPr>
    </w:p>
    <w:p w:rsidR="00FB105E" w:rsidRPr="00E9095A" w:rsidRDefault="00FB105E" w:rsidP="00FB105E">
      <w:pPr>
        <w:autoSpaceDE w:val="0"/>
        <w:autoSpaceDN w:val="0"/>
        <w:spacing w:after="0" w:line="240" w:lineRule="auto"/>
        <w:ind w:firstLine="49"/>
        <w:rPr>
          <w:rFonts w:cs="Arial"/>
          <w:color w:val="000000"/>
          <w:lang w:eastAsia="en-GB"/>
        </w:rPr>
      </w:pPr>
      <w:r w:rsidRPr="00E9095A">
        <w:rPr>
          <w:rFonts w:cs="Arial"/>
          <w:b/>
          <w:bCs/>
          <w:color w:val="000000"/>
          <w:lang w:eastAsia="en-GB"/>
        </w:rPr>
        <w:t>PLANS REFERRED TO IN CONSIDERATION OF THIS APPLICATION:</w:t>
      </w:r>
    </w:p>
    <w:p w:rsidR="00FB105E" w:rsidRPr="00E9095A" w:rsidRDefault="00FB105E" w:rsidP="00FB105E">
      <w:pPr>
        <w:autoSpaceDE w:val="0"/>
        <w:autoSpaceDN w:val="0"/>
        <w:spacing w:after="0" w:line="240" w:lineRule="auto"/>
        <w:ind w:firstLine="49"/>
        <w:rPr>
          <w:rFonts w:cs="Arial"/>
          <w:color w:val="FF0000"/>
          <w:lang w:eastAsia="en-GB"/>
        </w:rPr>
      </w:pPr>
    </w:p>
    <w:p w:rsidR="00FB105E" w:rsidRPr="00E9095A" w:rsidRDefault="00FB105E" w:rsidP="00FB105E">
      <w:pPr>
        <w:autoSpaceDE w:val="0"/>
        <w:autoSpaceDN w:val="0"/>
        <w:spacing w:after="0" w:line="240" w:lineRule="auto"/>
        <w:ind w:firstLine="49"/>
        <w:rPr>
          <w:rFonts w:cs="Arial"/>
          <w:color w:val="000000"/>
          <w:lang w:eastAsia="en-GB"/>
        </w:rPr>
      </w:pPr>
      <w:r w:rsidRPr="00E9095A">
        <w:rPr>
          <w:rFonts w:cs="Arial"/>
          <w:color w:val="000000"/>
          <w:lang w:eastAsia="en-GB"/>
        </w:rPr>
        <w:t xml:space="preserve">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p w:rsidR="000F7E44" w:rsidRPr="000F7E44" w:rsidRDefault="000F7E44" w:rsidP="000F7E44">
      <w:pPr>
        <w:autoSpaceDE w:val="0"/>
        <w:autoSpaceDN w:val="0"/>
        <w:spacing w:after="0" w:line="240" w:lineRule="auto"/>
        <w:rPr>
          <w:rFonts w:cs="Arial"/>
          <w:color w:val="000000"/>
          <w:lang w:eastAsia="en-GB"/>
        </w:rPr>
      </w:pPr>
      <w:r w:rsidRPr="000F7E44">
        <w:rPr>
          <w:rFonts w:cs="Arial"/>
          <w:color w:val="000000"/>
          <w:lang w:eastAsia="en-GB"/>
        </w:rPr>
        <w:t>Proposed Details: Drawing Number: 3045.03 dated Feb '16</w:t>
      </w:r>
    </w:p>
    <w:p w:rsidR="003103EC" w:rsidRDefault="000F7E44" w:rsidP="000F7E44">
      <w:pPr>
        <w:autoSpaceDE w:val="0"/>
        <w:autoSpaceDN w:val="0"/>
        <w:spacing w:after="0" w:line="240" w:lineRule="auto"/>
        <w:rPr>
          <w:rFonts w:cs="Arial"/>
          <w:color w:val="000000"/>
          <w:lang w:eastAsia="en-GB"/>
        </w:rPr>
      </w:pPr>
      <w:r w:rsidRPr="000F7E44">
        <w:rPr>
          <w:rFonts w:cs="Arial"/>
          <w:color w:val="000000"/>
          <w:lang w:eastAsia="en-GB"/>
        </w:rPr>
        <w:t>Block Plan, Drawing Number: 3045.01 dated Feb '16</w:t>
      </w:r>
    </w:p>
    <w:p w:rsidR="003103EC" w:rsidRDefault="003103EC"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b/>
          <w:color w:val="000000"/>
          <w:u w:val="single"/>
          <w:lang w:eastAsia="en-GB"/>
        </w:rPr>
      </w:pPr>
      <w:r w:rsidRPr="00E9095A">
        <w:rPr>
          <w:rFonts w:cs="Arial"/>
          <w:b/>
          <w:color w:val="000000"/>
          <w:u w:val="single"/>
          <w:lang w:eastAsia="en-GB"/>
        </w:rPr>
        <w:t>ANY ADDITIONAL INFORMATION:</w:t>
      </w:r>
    </w:p>
    <w:p w:rsidR="00FB105E" w:rsidRPr="00E9095A" w:rsidRDefault="00FB105E" w:rsidP="000F7E44">
      <w:pPr>
        <w:keepLines/>
        <w:widowControl w:val="0"/>
        <w:autoSpaceDE w:val="0"/>
        <w:autoSpaceDN w:val="0"/>
        <w:spacing w:after="0" w:line="240" w:lineRule="auto"/>
        <w:rPr>
          <w:rFonts w:cs="Arial"/>
          <w:color w:val="000000"/>
          <w:lang w:eastAsia="en-GB"/>
        </w:rPr>
      </w:pPr>
      <w:r w:rsidRPr="00E9095A">
        <w:rPr>
          <w:rFonts w:cs="Arial"/>
          <w:color w:val="000000"/>
          <w:lang w:eastAsia="en-GB"/>
        </w:rPr>
        <w:t>In dealing with this application, the Council of the Isles of Scilly has a</w:t>
      </w:r>
      <w:r w:rsidR="000F7E44">
        <w:rPr>
          <w:rFonts w:cs="Arial"/>
          <w:color w:val="000000"/>
          <w:lang w:eastAsia="en-GB"/>
        </w:rPr>
        <w:t xml:space="preserve">ctively sought to work with the </w:t>
      </w:r>
      <w:r w:rsidRPr="00E9095A">
        <w:rPr>
          <w:rFonts w:cs="Arial"/>
          <w:color w:val="000000"/>
          <w:lang w:eastAsia="en-GB"/>
        </w:rPr>
        <w:t>applicants in a positive and proactive manner, in accordance with paragraphs 186 and 187 of the NPPF.</w:t>
      </w: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0F7E44">
      <w:pPr>
        <w:widowControl w:val="0"/>
        <w:tabs>
          <w:tab w:val="left" w:pos="720"/>
        </w:tabs>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108" w:type="dxa"/>
        <w:tblLook w:val="04A0" w:firstRow="1" w:lastRow="0" w:firstColumn="1" w:lastColumn="0" w:noHBand="0" w:noVBand="1"/>
      </w:tblPr>
      <w:tblGrid>
        <w:gridCol w:w="2694"/>
        <w:gridCol w:w="1417"/>
        <w:gridCol w:w="3402"/>
        <w:gridCol w:w="1701"/>
      </w:tblGrid>
      <w:tr w:rsidR="00494095" w:rsidRPr="00494095" w:rsidTr="000F7E44">
        <w:tc>
          <w:tcPr>
            <w:tcW w:w="2694"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0F7E44">
        <w:tc>
          <w:tcPr>
            <w:tcW w:w="2694"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8"/>
      <w:footerReference w:type="default" r:id="rId9"/>
      <w:headerReference w:type="first" r:id="rId10"/>
      <w:footerReference w:type="first" r:id="rId11"/>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69" w:rsidRDefault="00791169" w:rsidP="0080677F">
      <w:pPr>
        <w:spacing w:after="0" w:line="240" w:lineRule="auto"/>
      </w:pPr>
      <w:r>
        <w:separator/>
      </w:r>
    </w:p>
  </w:endnote>
  <w:endnote w:type="continuationSeparator" w:id="0">
    <w:p w:rsidR="00791169" w:rsidRDefault="00791169"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69" w:rsidRDefault="00791169" w:rsidP="0080677F">
      <w:pPr>
        <w:spacing w:after="0" w:line="240" w:lineRule="auto"/>
      </w:pPr>
      <w:r>
        <w:separator/>
      </w:r>
    </w:p>
  </w:footnote>
  <w:footnote w:type="continuationSeparator" w:id="0">
    <w:p w:rsidR="00791169" w:rsidRDefault="00791169"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0F7E44">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33D08"/>
    <w:rsid w:val="0004351B"/>
    <w:rsid w:val="0006672D"/>
    <w:rsid w:val="000A0B0A"/>
    <w:rsid w:val="000F7E44"/>
    <w:rsid w:val="001013CE"/>
    <w:rsid w:val="00113B2A"/>
    <w:rsid w:val="00143D67"/>
    <w:rsid w:val="0019222A"/>
    <w:rsid w:val="001A5CFD"/>
    <w:rsid w:val="001D0E8C"/>
    <w:rsid w:val="001D5BCF"/>
    <w:rsid w:val="002173AD"/>
    <w:rsid w:val="0023685D"/>
    <w:rsid w:val="002518AB"/>
    <w:rsid w:val="002765BB"/>
    <w:rsid w:val="003103EC"/>
    <w:rsid w:val="00313516"/>
    <w:rsid w:val="00331831"/>
    <w:rsid w:val="00394184"/>
    <w:rsid w:val="003951A8"/>
    <w:rsid w:val="003A79E8"/>
    <w:rsid w:val="003C2784"/>
    <w:rsid w:val="003C37CF"/>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2735D"/>
    <w:rsid w:val="00553832"/>
    <w:rsid w:val="00571047"/>
    <w:rsid w:val="00573D8D"/>
    <w:rsid w:val="005A740A"/>
    <w:rsid w:val="005B1E23"/>
    <w:rsid w:val="00624A7D"/>
    <w:rsid w:val="0068073B"/>
    <w:rsid w:val="00686696"/>
    <w:rsid w:val="00722ABF"/>
    <w:rsid w:val="007365F5"/>
    <w:rsid w:val="007434F2"/>
    <w:rsid w:val="00764C7D"/>
    <w:rsid w:val="00791169"/>
    <w:rsid w:val="007A0283"/>
    <w:rsid w:val="007A3CF2"/>
    <w:rsid w:val="00802321"/>
    <w:rsid w:val="00802FD8"/>
    <w:rsid w:val="0080677F"/>
    <w:rsid w:val="00806862"/>
    <w:rsid w:val="00812A90"/>
    <w:rsid w:val="0084300F"/>
    <w:rsid w:val="008552A2"/>
    <w:rsid w:val="00863CF6"/>
    <w:rsid w:val="0086774B"/>
    <w:rsid w:val="00877664"/>
    <w:rsid w:val="00887FFD"/>
    <w:rsid w:val="008B06AF"/>
    <w:rsid w:val="008B60C0"/>
    <w:rsid w:val="00901B0D"/>
    <w:rsid w:val="00902855"/>
    <w:rsid w:val="0093097C"/>
    <w:rsid w:val="0093102A"/>
    <w:rsid w:val="0096030F"/>
    <w:rsid w:val="00966B27"/>
    <w:rsid w:val="00971A37"/>
    <w:rsid w:val="00982D45"/>
    <w:rsid w:val="009866ED"/>
    <w:rsid w:val="0099452A"/>
    <w:rsid w:val="009B7200"/>
    <w:rsid w:val="009E773C"/>
    <w:rsid w:val="00A261C2"/>
    <w:rsid w:val="00A43B4F"/>
    <w:rsid w:val="00A57D80"/>
    <w:rsid w:val="00AA4821"/>
    <w:rsid w:val="00AE1267"/>
    <w:rsid w:val="00AF06A2"/>
    <w:rsid w:val="00AF7FF5"/>
    <w:rsid w:val="00B4129D"/>
    <w:rsid w:val="00B44F36"/>
    <w:rsid w:val="00B56CC4"/>
    <w:rsid w:val="00BA627D"/>
    <w:rsid w:val="00BB4135"/>
    <w:rsid w:val="00C373EE"/>
    <w:rsid w:val="00C379D9"/>
    <w:rsid w:val="00C5351C"/>
    <w:rsid w:val="00C77169"/>
    <w:rsid w:val="00C8054D"/>
    <w:rsid w:val="00C83AAF"/>
    <w:rsid w:val="00CA0D98"/>
    <w:rsid w:val="00CA1204"/>
    <w:rsid w:val="00CB3211"/>
    <w:rsid w:val="00CB71C4"/>
    <w:rsid w:val="00CC44C6"/>
    <w:rsid w:val="00CE3EA5"/>
    <w:rsid w:val="00D00745"/>
    <w:rsid w:val="00D84AEA"/>
    <w:rsid w:val="00D922AD"/>
    <w:rsid w:val="00D934EE"/>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7956">
      <w:marLeft w:val="0"/>
      <w:marRight w:val="0"/>
      <w:marTop w:val="0"/>
      <w:marBottom w:val="0"/>
      <w:divBdr>
        <w:top w:val="none" w:sz="0" w:space="0" w:color="auto"/>
        <w:left w:val="none" w:sz="0" w:space="0" w:color="auto"/>
        <w:bottom w:val="none" w:sz="0" w:space="0" w:color="auto"/>
        <w:right w:val="none" w:sz="0" w:space="0" w:color="auto"/>
      </w:divBdr>
    </w:div>
    <w:div w:id="186187957">
      <w:marLeft w:val="0"/>
      <w:marRight w:val="0"/>
      <w:marTop w:val="0"/>
      <w:marBottom w:val="0"/>
      <w:divBdr>
        <w:top w:val="none" w:sz="0" w:space="0" w:color="auto"/>
        <w:left w:val="none" w:sz="0" w:space="0" w:color="auto"/>
        <w:bottom w:val="none" w:sz="0" w:space="0" w:color="auto"/>
        <w:right w:val="none" w:sz="0" w:space="0" w:color="auto"/>
      </w:divBdr>
    </w:div>
    <w:div w:id="1861879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7BDD-78F9-436C-AC72-945C0801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0</TotalTime>
  <Pages>1</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 Walton</cp:lastModifiedBy>
  <cp:revision>3</cp:revision>
  <cp:lastPrinted>2012-02-10T14:17:00Z</cp:lastPrinted>
  <dcterms:created xsi:type="dcterms:W3CDTF">2016-04-21T10:59:00Z</dcterms:created>
  <dcterms:modified xsi:type="dcterms:W3CDTF">2016-04-21T11:00:00Z</dcterms:modified>
</cp:coreProperties>
</file>