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Default="007434F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789"/>
      </w:tblGrid>
      <w:tr w:rsidR="00015F12" w:rsidRPr="002B4D9C" w:rsidTr="00AE100C">
        <w:tc>
          <w:tcPr>
            <w:tcW w:w="5508" w:type="dxa"/>
          </w:tcPr>
          <w:p w:rsidR="00015F12" w:rsidRPr="002B4D9C" w:rsidRDefault="00015F12" w:rsidP="00AE100C">
            <w:pPr>
              <w:rPr>
                <w:rFonts w:ascii="Arial" w:hAnsi="Arial" w:cs="Arial"/>
              </w:rPr>
            </w:pPr>
            <w:r w:rsidRPr="002B4D9C">
              <w:rPr>
                <w:rFonts w:ascii="Arial" w:hAnsi="Arial" w:cs="Arial"/>
              </w:rPr>
              <w:t xml:space="preserve">Application Number: </w:t>
            </w:r>
            <w:r w:rsidRPr="004B6B2E">
              <w:rPr>
                <w:lang w:val="en-US"/>
              </w:rPr>
              <w:t>P/16/060/FUL</w:t>
            </w:r>
          </w:p>
        </w:tc>
        <w:tc>
          <w:tcPr>
            <w:tcW w:w="5508" w:type="dxa"/>
            <w:vMerge w:val="restart"/>
            <w:shd w:val="clear" w:color="auto" w:fill="C0C0C0"/>
          </w:tcPr>
          <w:p w:rsidR="00015F12" w:rsidRPr="002B4D9C" w:rsidRDefault="00C61471" w:rsidP="00AE100C">
            <w:pPr>
              <w:rPr>
                <w:rFonts w:ascii="Arial" w:hAnsi="Arial" w:cs="Arial"/>
                <w:b/>
              </w:rPr>
            </w:pPr>
            <w:r w:rsidRPr="00D205F5">
              <w:rPr>
                <w:rFonts w:cs="Arial"/>
                <w:b/>
              </w:rPr>
              <w:t xml:space="preserve">Town and Country Planning (Environmental Impact Assessment) (England and Wales) Regulation </w:t>
            </w:r>
            <w:r>
              <w:rPr>
                <w:rFonts w:cs="Arial"/>
                <w:b/>
              </w:rPr>
              <w:t>2015</w:t>
            </w:r>
          </w:p>
        </w:tc>
      </w:tr>
      <w:tr w:rsidR="00015F12" w:rsidRPr="002B4D9C" w:rsidTr="00AE100C">
        <w:tc>
          <w:tcPr>
            <w:tcW w:w="5508" w:type="dxa"/>
          </w:tcPr>
          <w:p w:rsidR="00015F12" w:rsidRPr="004B6B2E" w:rsidRDefault="00015F12" w:rsidP="00015F12">
            <w:pPr>
              <w:pStyle w:val="NoSpacing"/>
              <w:rPr>
                <w:lang w:val="en-US"/>
              </w:rPr>
            </w:pPr>
            <w:r>
              <w:rPr>
                <w:rFonts w:ascii="Arial" w:hAnsi="Arial" w:cs="Arial"/>
              </w:rPr>
              <w:t xml:space="preserve">Screened by: </w:t>
            </w:r>
            <w:r w:rsidRPr="004B6B2E">
              <w:rPr>
                <w:lang w:val="en-US"/>
              </w:rPr>
              <w:t>Mrs Lisa Walton</w:t>
            </w:r>
          </w:p>
          <w:p w:rsidR="00015F12" w:rsidRPr="00015F12" w:rsidRDefault="00015F12" w:rsidP="00015F12">
            <w:pPr>
              <w:pStyle w:val="NoSpacing"/>
              <w:rPr>
                <w:lang w:val="en-US"/>
              </w:rPr>
            </w:pPr>
            <w:r w:rsidRPr="004B6B2E">
              <w:rPr>
                <w:lang w:val="en-US"/>
              </w:rPr>
              <w:t>Senior Officer: Planning and Development Management</w:t>
            </w:r>
          </w:p>
          <w:p w:rsidR="00015F12" w:rsidRPr="00015F12" w:rsidRDefault="00015F12" w:rsidP="00015F12">
            <w:pPr>
              <w:pStyle w:val="NoSpacing"/>
              <w:rPr>
                <w:lang w:val="en-US"/>
              </w:rPr>
            </w:pPr>
            <w:r w:rsidRPr="002B4D9C">
              <w:rPr>
                <w:rFonts w:ascii="Arial" w:hAnsi="Arial" w:cs="Arial"/>
              </w:rPr>
              <w:t xml:space="preserve">On: </w:t>
            </w:r>
            <w:r>
              <w:rPr>
                <w:lang w:val="en-US"/>
              </w:rPr>
              <w:t>27th July 2016</w:t>
            </w:r>
          </w:p>
        </w:tc>
        <w:tc>
          <w:tcPr>
            <w:tcW w:w="5508" w:type="dxa"/>
            <w:vMerge/>
            <w:shd w:val="clear" w:color="auto" w:fill="C0C0C0"/>
          </w:tcPr>
          <w:p w:rsidR="00015F12" w:rsidRPr="002B4D9C" w:rsidRDefault="00015F12" w:rsidP="00AE100C">
            <w:pPr>
              <w:rPr>
                <w:rFonts w:ascii="Arial" w:hAnsi="Arial" w:cs="Arial"/>
              </w:rPr>
            </w:pP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015F12" w:rsidRDefault="00015F12" w:rsidP="00015F12">
      <w:pPr>
        <w:ind w:left="6480" w:hanging="6480"/>
        <w:outlineLvl w:val="0"/>
        <w:rPr>
          <w:rFonts w:ascii="Arial" w:hAnsi="Arial" w:cs="Arial"/>
          <w:b/>
        </w:rPr>
      </w:pPr>
      <w:r w:rsidRPr="007B3A7C">
        <w:rPr>
          <w:rFonts w:ascii="Arial" w:hAnsi="Arial" w:cs="Arial"/>
          <w:b/>
        </w:rPr>
        <w:t>This is a schedule 2 development by virtue of 3 (i) of Schedule 2 of the EIA Regs</w:t>
      </w:r>
    </w:p>
    <w:p w:rsidR="00015F12" w:rsidRDefault="00015F12" w:rsidP="00015F12">
      <w:pPr>
        <w:ind w:left="720" w:hanging="720"/>
        <w:outlineLvl w:val="0"/>
        <w:rPr>
          <w:rFonts w:ascii="Arial" w:hAnsi="Arial" w:cs="Arial"/>
        </w:rPr>
      </w:pPr>
      <w:r w:rsidRPr="00813B1E">
        <w:rPr>
          <w:rFonts w:ascii="Arial" w:hAnsi="Arial" w:cs="Arial"/>
        </w:rPr>
        <w:t>1.</w:t>
      </w:r>
      <w:r>
        <w:rPr>
          <w:rFonts w:ascii="Arial" w:hAnsi="Arial" w:cs="Arial"/>
        </w:rPr>
        <w:tab/>
        <w:t>The characteristics of development must be considered having regard in particular to:</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801"/>
      </w:tblGrid>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a) the size of the development;</w:t>
            </w:r>
          </w:p>
        </w:tc>
        <w:tc>
          <w:tcPr>
            <w:tcW w:w="5508" w:type="dxa"/>
            <w:vAlign w:val="center"/>
          </w:tcPr>
          <w:p w:rsidR="00015F12" w:rsidRPr="00202D7F" w:rsidRDefault="005E055F" w:rsidP="00202D7F">
            <w:pPr>
              <w:jc w:val="both"/>
              <w:rPr>
                <w:rFonts w:ascii="Arial" w:hAnsi="Arial" w:cs="Arial"/>
              </w:rPr>
            </w:pPr>
            <w:r>
              <w:rPr>
                <w:rFonts w:ascii="Arial" w:hAnsi="Arial" w:cs="Arial"/>
              </w:rPr>
              <w:t xml:space="preserve">The </w:t>
            </w:r>
            <w:r w:rsidR="00202D7F">
              <w:rPr>
                <w:rFonts w:ascii="Arial" w:hAnsi="Arial" w:cs="Arial"/>
              </w:rPr>
              <w:t>red line site area</w:t>
            </w:r>
            <w:r>
              <w:rPr>
                <w:rFonts w:ascii="Arial" w:hAnsi="Arial" w:cs="Arial"/>
              </w:rPr>
              <w:t xml:space="preserve"> covers 0.10 hectares</w:t>
            </w:r>
            <w:r w:rsidR="00202D7F">
              <w:rPr>
                <w:rFonts w:ascii="Arial" w:hAnsi="Arial" w:cs="Arial"/>
              </w:rPr>
              <w:t>.  The redundant agricultural buildings cover an area of around 290m</w:t>
            </w:r>
            <w:r w:rsidR="00202D7F">
              <w:rPr>
                <w:rFonts w:ascii="Arial" w:hAnsi="Arial" w:cs="Arial"/>
                <w:vertAlign w:val="superscript"/>
              </w:rPr>
              <w:t>2</w:t>
            </w:r>
            <w:r w:rsidR="00202D7F">
              <w:rPr>
                <w:rFonts w:ascii="Arial" w:hAnsi="Arial" w:cs="Arial"/>
              </w:rPr>
              <w:t xml:space="preserve"> (0.02ha).  The majority of the 0.10 hectares will be retained as garden space, some will be used for car parking and other areas will be hard landscaped, or are already hard landscaped.  </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b) the accum</w:t>
            </w:r>
            <w:r>
              <w:rPr>
                <w:rFonts w:ascii="Arial" w:hAnsi="Arial" w:cs="Arial"/>
              </w:rPr>
              <w:t>ulation with other development;</w:t>
            </w:r>
          </w:p>
        </w:tc>
        <w:tc>
          <w:tcPr>
            <w:tcW w:w="5508" w:type="dxa"/>
            <w:vAlign w:val="center"/>
          </w:tcPr>
          <w:p w:rsidR="00015F12" w:rsidRPr="002B4D9C" w:rsidRDefault="00202D7F" w:rsidP="006E5DE6">
            <w:pPr>
              <w:jc w:val="both"/>
              <w:rPr>
                <w:rFonts w:ascii="Arial" w:hAnsi="Arial" w:cs="Arial"/>
              </w:rPr>
            </w:pPr>
            <w:r>
              <w:rPr>
                <w:rFonts w:ascii="Arial" w:hAnsi="Arial" w:cs="Arial"/>
              </w:rPr>
              <w:t xml:space="preserve">The proposal will bring forward </w:t>
            </w:r>
            <w:r w:rsidR="006E5DE6">
              <w:rPr>
                <w:rFonts w:ascii="Arial" w:hAnsi="Arial" w:cs="Arial"/>
              </w:rPr>
              <w:t>4</w:t>
            </w:r>
            <w:bookmarkStart w:id="0" w:name="_GoBack"/>
            <w:bookmarkEnd w:id="0"/>
            <w:r>
              <w:rPr>
                <w:rFonts w:ascii="Arial" w:hAnsi="Arial" w:cs="Arial"/>
              </w:rPr>
              <w:t xml:space="preserve"> additional residential units of accommodation in addition to the 5 units of accommodation at this site.  This will total 9 units of residential accommodation through the re-use of redundant agricultural buildings.</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c</w:t>
            </w:r>
            <w:r>
              <w:rPr>
                <w:rFonts w:ascii="Arial" w:hAnsi="Arial" w:cs="Arial"/>
              </w:rPr>
              <w:t>) the use of natural resources;</w:t>
            </w:r>
          </w:p>
        </w:tc>
        <w:tc>
          <w:tcPr>
            <w:tcW w:w="5508" w:type="dxa"/>
            <w:vAlign w:val="center"/>
          </w:tcPr>
          <w:p w:rsidR="00015F12" w:rsidRPr="002B4D9C" w:rsidRDefault="00202D7F" w:rsidP="00AE100C">
            <w:pPr>
              <w:jc w:val="both"/>
              <w:rPr>
                <w:rFonts w:ascii="Arial" w:hAnsi="Arial" w:cs="Arial"/>
              </w:rPr>
            </w:pPr>
            <w:r>
              <w:rPr>
                <w:rFonts w:ascii="Arial" w:hAnsi="Arial" w:cs="Arial"/>
              </w:rPr>
              <w:t>The proposal will use some natural resources but this will be limited due to the nature of converting buildings.</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 xml:space="preserve">d) the production </w:t>
            </w:r>
            <w:r>
              <w:rPr>
                <w:rFonts w:ascii="Arial" w:hAnsi="Arial" w:cs="Arial"/>
              </w:rPr>
              <w:t>of waste;</w:t>
            </w:r>
          </w:p>
        </w:tc>
        <w:tc>
          <w:tcPr>
            <w:tcW w:w="5508" w:type="dxa"/>
            <w:vAlign w:val="center"/>
          </w:tcPr>
          <w:p w:rsidR="00015F12" w:rsidRPr="002B4D9C" w:rsidRDefault="00202D7F" w:rsidP="00AE100C">
            <w:pPr>
              <w:jc w:val="both"/>
              <w:rPr>
                <w:rFonts w:ascii="Arial" w:hAnsi="Arial" w:cs="Arial"/>
              </w:rPr>
            </w:pPr>
            <w:r>
              <w:rPr>
                <w:rFonts w:ascii="Arial" w:hAnsi="Arial" w:cs="Arial"/>
              </w:rPr>
              <w:t>There will be some production of waste through the removal of elements of the building and replacing them.  This will result in a moderate amount of waste.</w:t>
            </w:r>
          </w:p>
        </w:tc>
      </w:tr>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e) pollution and nuisances;</w:t>
            </w:r>
          </w:p>
        </w:tc>
        <w:tc>
          <w:tcPr>
            <w:tcW w:w="5508" w:type="dxa"/>
            <w:vAlign w:val="center"/>
          </w:tcPr>
          <w:p w:rsidR="00015F12" w:rsidRPr="002B4D9C" w:rsidRDefault="00202D7F" w:rsidP="00AE100C">
            <w:pPr>
              <w:jc w:val="both"/>
              <w:rPr>
                <w:rFonts w:ascii="Arial" w:hAnsi="Arial" w:cs="Arial"/>
              </w:rPr>
            </w:pPr>
            <w:r>
              <w:rPr>
                <w:rFonts w:ascii="Arial" w:hAnsi="Arial" w:cs="Arial"/>
              </w:rPr>
              <w:t>The production of pollution and nuisances is likely to be limited to the construction phase.  The post-completion and occupation phase could result in greater vehicular movements both by private cars and deliveries/refuse collection but in an area that is well related to an existing small number of properties.</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lastRenderedPageBreak/>
              <w:t>f) the risk of accidents, having regard in particular to s</w:t>
            </w:r>
            <w:r>
              <w:rPr>
                <w:rFonts w:ascii="Arial" w:hAnsi="Arial" w:cs="Arial"/>
              </w:rPr>
              <w:t>ubstances or technologies used.</w:t>
            </w:r>
          </w:p>
        </w:tc>
        <w:tc>
          <w:tcPr>
            <w:tcW w:w="5508" w:type="dxa"/>
            <w:vAlign w:val="center"/>
          </w:tcPr>
          <w:p w:rsidR="00015F12" w:rsidRPr="002B4D9C" w:rsidRDefault="00202D7F" w:rsidP="00AE100C">
            <w:pPr>
              <w:rPr>
                <w:rFonts w:ascii="Arial" w:hAnsi="Arial" w:cs="Arial"/>
              </w:rPr>
            </w:pPr>
            <w:r>
              <w:rPr>
                <w:rFonts w:ascii="Arial" w:hAnsi="Arial" w:cs="Arial"/>
              </w:rPr>
              <w:t>Low risk of accidents</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outlineLvl w:val="0"/>
        <w:rPr>
          <w:rFonts w:ascii="Arial" w:hAnsi="Arial" w:cs="Arial"/>
        </w:rPr>
      </w:pPr>
      <w:r>
        <w:rPr>
          <w:rFonts w:ascii="Arial" w:hAnsi="Arial" w:cs="Arial"/>
        </w:rPr>
        <w:t xml:space="preserve">2. </w:t>
      </w:r>
      <w:r>
        <w:rPr>
          <w:rFonts w:ascii="Arial" w:hAnsi="Arial" w:cs="Arial"/>
        </w:rPr>
        <w:tab/>
        <w:t>The environmental sensitivity of geographical areas likely to be affected by development must be considered having regard, in particular, to:</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746"/>
      </w:tblGrid>
      <w:tr w:rsidR="00C61471" w:rsidRPr="00D205F5" w:rsidTr="00B03891">
        <w:tc>
          <w:tcPr>
            <w:tcW w:w="5508" w:type="dxa"/>
          </w:tcPr>
          <w:p w:rsidR="00C61471" w:rsidRPr="00D205F5" w:rsidRDefault="00C61471" w:rsidP="00B03891">
            <w:pPr>
              <w:rPr>
                <w:rFonts w:cs="Arial"/>
              </w:rPr>
            </w:pPr>
            <w:r w:rsidRPr="00D205F5">
              <w:rPr>
                <w:rFonts w:cs="Arial"/>
              </w:rPr>
              <w:t>a) the existing land use;</w:t>
            </w:r>
          </w:p>
          <w:p w:rsidR="00C61471" w:rsidRPr="00D205F5" w:rsidRDefault="00C61471" w:rsidP="00B03891">
            <w:pPr>
              <w:rPr>
                <w:rFonts w:cs="Arial"/>
              </w:rPr>
            </w:pPr>
          </w:p>
        </w:tc>
        <w:tc>
          <w:tcPr>
            <w:tcW w:w="5508" w:type="dxa"/>
          </w:tcPr>
          <w:p w:rsidR="00C61471" w:rsidRPr="00D205F5" w:rsidRDefault="00C61471" w:rsidP="00B03891">
            <w:pPr>
              <w:rPr>
                <w:rFonts w:cs="Arial"/>
              </w:rPr>
            </w:pPr>
            <w:r>
              <w:rPr>
                <w:rFonts w:cs="Arial"/>
              </w:rPr>
              <w:t>The existing land use is agricultural</w:t>
            </w:r>
            <w:r w:rsidR="00202D7F">
              <w:rPr>
                <w:rFonts w:cs="Arial"/>
              </w:rPr>
              <w:t>/residential in nature</w:t>
            </w:r>
          </w:p>
        </w:tc>
      </w:tr>
      <w:tr w:rsidR="00C61471" w:rsidRPr="00D205F5" w:rsidTr="00B03891">
        <w:tc>
          <w:tcPr>
            <w:tcW w:w="5508" w:type="dxa"/>
          </w:tcPr>
          <w:p w:rsidR="00C61471" w:rsidRPr="00D205F5" w:rsidRDefault="00C61471" w:rsidP="00B03891">
            <w:pPr>
              <w:rPr>
                <w:rFonts w:cs="Arial"/>
              </w:rPr>
            </w:pPr>
            <w:r w:rsidRPr="00D205F5">
              <w:rPr>
                <w:rFonts w:cs="Arial"/>
              </w:rPr>
              <w:t>b) the relative abundance, quality and regenerative capacity of natural resources in the area;</w:t>
            </w:r>
          </w:p>
          <w:p w:rsidR="00C61471" w:rsidRPr="00D205F5" w:rsidRDefault="00C61471" w:rsidP="00B03891">
            <w:pPr>
              <w:rPr>
                <w:rFonts w:cs="Arial"/>
              </w:rPr>
            </w:pPr>
          </w:p>
        </w:tc>
        <w:tc>
          <w:tcPr>
            <w:tcW w:w="5508" w:type="dxa"/>
          </w:tcPr>
          <w:p w:rsidR="00C61471" w:rsidRPr="00D205F5" w:rsidRDefault="00C61471" w:rsidP="00B03891">
            <w:pPr>
              <w:rPr>
                <w:rFonts w:cs="Arial"/>
              </w:rPr>
            </w:pPr>
            <w:r>
              <w:rPr>
                <w:rFonts w:cs="Arial"/>
              </w:rPr>
              <w:t>Outside the site there is a high abundance of high quality natural resources, both coastal at countryside of both designated international importance and local nature reserves.</w:t>
            </w:r>
          </w:p>
        </w:tc>
      </w:tr>
      <w:tr w:rsidR="00C61471" w:rsidRPr="00D205F5" w:rsidTr="00B03891">
        <w:tc>
          <w:tcPr>
            <w:tcW w:w="5508" w:type="dxa"/>
          </w:tcPr>
          <w:p w:rsidR="00C61471" w:rsidRPr="00D205F5" w:rsidRDefault="00C61471" w:rsidP="00B03891">
            <w:pPr>
              <w:rPr>
                <w:rFonts w:cs="Arial"/>
              </w:rPr>
            </w:pPr>
            <w:r w:rsidRPr="00D205F5">
              <w:rPr>
                <w:rFonts w:cs="Arial"/>
              </w:rPr>
              <w:t>c) the absorption capacity of the natural environment, paying particular attention to the following areas:</w:t>
            </w:r>
          </w:p>
          <w:p w:rsidR="00C61471" w:rsidRPr="00D205F5" w:rsidRDefault="00C61471" w:rsidP="00C61471">
            <w:pPr>
              <w:numPr>
                <w:ilvl w:val="0"/>
                <w:numId w:val="1"/>
              </w:numPr>
              <w:spacing w:after="0" w:line="240" w:lineRule="auto"/>
              <w:rPr>
                <w:rFonts w:cs="Arial"/>
              </w:rPr>
            </w:pPr>
            <w:r w:rsidRPr="00D205F5">
              <w:rPr>
                <w:rFonts w:cs="Arial"/>
              </w:rPr>
              <w:t>Wetlands;</w:t>
            </w:r>
          </w:p>
          <w:p w:rsidR="00C61471" w:rsidRPr="00D205F5" w:rsidRDefault="00C61471" w:rsidP="00C61471">
            <w:pPr>
              <w:numPr>
                <w:ilvl w:val="0"/>
                <w:numId w:val="1"/>
              </w:numPr>
              <w:spacing w:after="0" w:line="240" w:lineRule="auto"/>
              <w:rPr>
                <w:rFonts w:cs="Arial"/>
              </w:rPr>
            </w:pPr>
            <w:r w:rsidRPr="00D205F5">
              <w:rPr>
                <w:rFonts w:cs="Arial"/>
              </w:rPr>
              <w:t>Coastal zones;</w:t>
            </w:r>
          </w:p>
          <w:p w:rsidR="00C61471" w:rsidRPr="00D205F5" w:rsidRDefault="00C61471" w:rsidP="00C61471">
            <w:pPr>
              <w:numPr>
                <w:ilvl w:val="0"/>
                <w:numId w:val="1"/>
              </w:numPr>
              <w:spacing w:after="0" w:line="240" w:lineRule="auto"/>
              <w:rPr>
                <w:rFonts w:cs="Arial"/>
              </w:rPr>
            </w:pPr>
            <w:r w:rsidRPr="00D205F5">
              <w:rPr>
                <w:rFonts w:cs="Arial"/>
              </w:rPr>
              <w:t>Mountain and forest areas;</w:t>
            </w:r>
          </w:p>
          <w:p w:rsidR="00C61471" w:rsidRPr="00D205F5" w:rsidRDefault="00C61471" w:rsidP="00C61471">
            <w:pPr>
              <w:numPr>
                <w:ilvl w:val="0"/>
                <w:numId w:val="1"/>
              </w:numPr>
              <w:spacing w:after="0" w:line="240" w:lineRule="auto"/>
              <w:rPr>
                <w:rFonts w:cs="Arial"/>
              </w:rPr>
            </w:pPr>
            <w:r w:rsidRPr="00D205F5">
              <w:rPr>
                <w:rFonts w:cs="Arial"/>
              </w:rPr>
              <w:t>Nature reserves and parks;</w:t>
            </w:r>
          </w:p>
          <w:p w:rsidR="00C61471" w:rsidRPr="00D205F5" w:rsidRDefault="00C61471" w:rsidP="00C61471">
            <w:pPr>
              <w:numPr>
                <w:ilvl w:val="0"/>
                <w:numId w:val="1"/>
              </w:numPr>
              <w:spacing w:after="0" w:line="240" w:lineRule="auto"/>
              <w:rPr>
                <w:rFonts w:cs="Arial"/>
              </w:rPr>
            </w:pPr>
            <w:r w:rsidRPr="00D205F5">
              <w:rPr>
                <w:rFonts w:cs="Arial"/>
              </w:rPr>
              <w:t>Areas classified or protected under Member states’ legislation; areas designated by Member States pursuant to Council Directive 79/409/EEC on the conservation of Wild Birds (a) and Council Directive 92/43/EEC on the conservation of natural habitats and of wild fauna and flora (b);</w:t>
            </w:r>
          </w:p>
          <w:p w:rsidR="00C61471" w:rsidRPr="00D205F5" w:rsidRDefault="00C61471" w:rsidP="00C61471">
            <w:pPr>
              <w:numPr>
                <w:ilvl w:val="0"/>
                <w:numId w:val="1"/>
              </w:numPr>
              <w:spacing w:after="0" w:line="240" w:lineRule="auto"/>
              <w:rPr>
                <w:rFonts w:cs="Arial"/>
              </w:rPr>
            </w:pPr>
            <w:r w:rsidRPr="00D205F5">
              <w:rPr>
                <w:rFonts w:cs="Arial"/>
              </w:rPr>
              <w:t>Area in which the environmental quality standards laid down in Community legislation have already been exceeded;</w:t>
            </w:r>
          </w:p>
          <w:p w:rsidR="00C61471" w:rsidRPr="00D205F5" w:rsidRDefault="00C61471" w:rsidP="00C61471">
            <w:pPr>
              <w:numPr>
                <w:ilvl w:val="0"/>
                <w:numId w:val="1"/>
              </w:numPr>
              <w:spacing w:after="0" w:line="240" w:lineRule="auto"/>
              <w:rPr>
                <w:rFonts w:cs="Arial"/>
              </w:rPr>
            </w:pPr>
            <w:r w:rsidRPr="00D205F5">
              <w:rPr>
                <w:rFonts w:cs="Arial"/>
              </w:rPr>
              <w:t>Densely populated areas;</w:t>
            </w:r>
          </w:p>
          <w:p w:rsidR="00C61471" w:rsidRPr="00D205F5" w:rsidRDefault="00C61471" w:rsidP="00C61471">
            <w:pPr>
              <w:numPr>
                <w:ilvl w:val="0"/>
                <w:numId w:val="1"/>
              </w:numPr>
              <w:spacing w:after="0" w:line="240" w:lineRule="auto"/>
              <w:rPr>
                <w:rFonts w:cs="Arial"/>
              </w:rPr>
            </w:pPr>
            <w:r w:rsidRPr="00D205F5">
              <w:rPr>
                <w:rFonts w:cs="Arial"/>
              </w:rPr>
              <w:t>Landscapes of historical, cultural or archaeological significance;</w:t>
            </w:r>
          </w:p>
        </w:tc>
        <w:tc>
          <w:tcPr>
            <w:tcW w:w="5508" w:type="dxa"/>
          </w:tcPr>
          <w:p w:rsidR="00C61471" w:rsidRPr="00D205F5" w:rsidRDefault="00351653" w:rsidP="00B03891">
            <w:pPr>
              <w:jc w:val="both"/>
              <w:rPr>
                <w:rFonts w:cs="Arial"/>
              </w:rPr>
            </w:pPr>
            <w:r>
              <w:rPr>
                <w:rFonts w:cs="Arial"/>
              </w:rPr>
              <w:t xml:space="preserve">The Higher Moors and Porth Hellick Pool SSSI is located around 150 metres to the south with the south element of the site being included for a septic tank.  The worst case scenario of a septic tank being located on the south side of this land, would mean it would be within around 65m of the SSSI.  The SSSI also aligns closely with the ACA area which is at its closest point also 150m to the south of the application site.  There is a record of a findspot between the ACA and the site, which is a large quern stone and part of another.  The absorption capacity of the natural environment is considered to be high.  </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rPr>
          <w:rFonts w:ascii="Arial" w:hAnsi="Arial" w:cs="Arial"/>
        </w:rPr>
      </w:pPr>
      <w:r>
        <w:rPr>
          <w:rFonts w:ascii="Arial" w:hAnsi="Arial" w:cs="Arial"/>
        </w:rPr>
        <w:t>3.</w:t>
      </w:r>
      <w:r>
        <w:rPr>
          <w:rFonts w:ascii="Arial" w:hAnsi="Arial" w:cs="Arial"/>
        </w:rPr>
        <w:tab/>
        <w:t>The potential significant effects of development must be considered in relation to criteria set out under paragraphs 1 and 2 above, and having regard in particular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669"/>
      </w:tblGrid>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a) The extent of the impact (geographical areas and si</w:t>
            </w:r>
            <w:r>
              <w:rPr>
                <w:rFonts w:ascii="Arial" w:hAnsi="Arial" w:cs="Arial"/>
              </w:rPr>
              <w:t>ze of the affected population);</w:t>
            </w:r>
          </w:p>
        </w:tc>
        <w:tc>
          <w:tcPr>
            <w:tcW w:w="4669" w:type="dxa"/>
          </w:tcPr>
          <w:p w:rsidR="00C61471" w:rsidRPr="00D205F5" w:rsidRDefault="00C61471" w:rsidP="00202D7F">
            <w:pPr>
              <w:rPr>
                <w:rFonts w:cs="Arial"/>
              </w:rPr>
            </w:pPr>
            <w:r>
              <w:rPr>
                <w:rFonts w:cs="Arial"/>
              </w:rPr>
              <w:t>The impact will be limited to the building</w:t>
            </w:r>
            <w:r w:rsidR="00202D7F">
              <w:rPr>
                <w:rFonts w:cs="Arial"/>
              </w:rPr>
              <w:t>s</w:t>
            </w:r>
            <w:r>
              <w:rPr>
                <w:rFonts w:cs="Arial"/>
              </w:rPr>
              <w:t xml:space="preserve"> and the loss of </w:t>
            </w:r>
            <w:r w:rsidR="00202D7F">
              <w:rPr>
                <w:rFonts w:cs="Arial"/>
              </w:rPr>
              <w:t xml:space="preserve">a small area of surrounding land, which is likely to have been last used for agricultural and some domestic use associated with Holy Vale Farmhouse.  A small number of existing residents live within the Holy Vale and </w:t>
            </w:r>
            <w:r w:rsidR="00202D7F">
              <w:rPr>
                <w:rFonts w:cs="Arial"/>
              </w:rPr>
              <w:lastRenderedPageBreak/>
              <w:t>Maypole area.</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lastRenderedPageBreak/>
              <w:t>b) The trans</w:t>
            </w:r>
            <w:r>
              <w:rPr>
                <w:rFonts w:ascii="Arial" w:hAnsi="Arial" w:cs="Arial"/>
              </w:rPr>
              <w:t>-frontier nature of the impact;</w:t>
            </w:r>
          </w:p>
        </w:tc>
        <w:tc>
          <w:tcPr>
            <w:tcW w:w="4669" w:type="dxa"/>
          </w:tcPr>
          <w:p w:rsidR="00C61471" w:rsidRPr="00D205F5" w:rsidRDefault="00C61471" w:rsidP="00B03891">
            <w:pPr>
              <w:rPr>
                <w:rFonts w:cs="Arial"/>
              </w:rPr>
            </w:pPr>
            <w:r>
              <w:rPr>
                <w:rFonts w:cs="Arial"/>
              </w:rPr>
              <w:t>There will not be any trans-frontier impacts</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c) The magnitud</w:t>
            </w:r>
            <w:r>
              <w:rPr>
                <w:rFonts w:ascii="Arial" w:hAnsi="Arial" w:cs="Arial"/>
              </w:rPr>
              <w:t>e and complexity of the impact;</w:t>
            </w:r>
          </w:p>
        </w:tc>
        <w:tc>
          <w:tcPr>
            <w:tcW w:w="4669" w:type="dxa"/>
          </w:tcPr>
          <w:p w:rsidR="00C61471" w:rsidRPr="00D205F5" w:rsidRDefault="00C61471"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d)</w:t>
            </w:r>
            <w:r>
              <w:rPr>
                <w:rFonts w:ascii="Arial" w:hAnsi="Arial" w:cs="Arial"/>
              </w:rPr>
              <w:t xml:space="preserve"> The probability of the impact;</w:t>
            </w:r>
          </w:p>
        </w:tc>
        <w:tc>
          <w:tcPr>
            <w:tcW w:w="4669" w:type="dxa"/>
          </w:tcPr>
          <w:p w:rsidR="00C61471" w:rsidRPr="00D205F5" w:rsidRDefault="00C61471"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e) The duration, frequency and reversibility of the impact.</w:t>
            </w:r>
          </w:p>
        </w:tc>
        <w:tc>
          <w:tcPr>
            <w:tcW w:w="4669" w:type="dxa"/>
          </w:tcPr>
          <w:p w:rsidR="00C61471" w:rsidRPr="00D205F5" w:rsidRDefault="00C61471" w:rsidP="00B03891">
            <w:pPr>
              <w:rPr>
                <w:rFonts w:cs="Arial"/>
              </w:rPr>
            </w:pPr>
            <w:r>
              <w:rPr>
                <w:rFonts w:cs="Arial"/>
              </w:rPr>
              <w:t>The proposed dwelling</w:t>
            </w:r>
            <w:r w:rsidR="00EA7BAD">
              <w:rPr>
                <w:rFonts w:cs="Arial"/>
              </w:rPr>
              <w:t>s</w:t>
            </w:r>
            <w:r>
              <w:rPr>
                <w:rFonts w:cs="Arial"/>
              </w:rPr>
              <w:t xml:space="preserve"> would be permanent and irreversible.</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5E055F" w:rsidP="004B6B2E">
      <w:pPr>
        <w:pStyle w:val="NoSpacing"/>
        <w:rPr>
          <w:sz w:val="4"/>
          <w:szCs w:val="4"/>
          <w:lang w:val="en-U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5591810</wp:posOffset>
                </wp:positionH>
                <wp:positionV relativeFrom="paragraph">
                  <wp:posOffset>18415</wp:posOffset>
                </wp:positionV>
                <wp:extent cx="523240" cy="232410"/>
                <wp:effectExtent l="10160" t="8890" r="9525"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32410"/>
                        </a:xfrm>
                        <a:prstGeom prst="rect">
                          <a:avLst/>
                        </a:prstGeom>
                        <a:solidFill>
                          <a:srgbClr val="FFFFFF"/>
                        </a:solidFill>
                        <a:ln w="9525">
                          <a:solidFill>
                            <a:srgbClr val="000000"/>
                          </a:solidFill>
                          <a:miter lim="800000"/>
                          <a:headEnd/>
                          <a:tailEnd/>
                        </a:ln>
                      </wps:spPr>
                      <wps:txbx>
                        <w:txbxContent>
                          <w:p w:rsidR="00015F12" w:rsidRPr="00F16503" w:rsidRDefault="00EA7BAD"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0.3pt;margin-top:1.45pt;width:41.2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">
                <v:textbox>
                  <w:txbxContent>
                    <w:p w:rsidR="00015F12" w:rsidRPr="00F16503" w:rsidRDefault="00EA7BAD" w:rsidP="00015F12">
                      <w:pPr>
                        <w:rPr>
                          <w:szCs w:val="20"/>
                        </w:rPr>
                      </w:pPr>
                      <w:r>
                        <w:rPr>
                          <w:szCs w:val="20"/>
                        </w:rPr>
                        <w:t>n</w:t>
                      </w:r>
                    </w:p>
                  </w:txbxContent>
                </v:textbox>
              </v:shape>
            </w:pict>
          </mc:Fallback>
        </mc:AlternateContent>
      </w:r>
    </w:p>
    <w:p w:rsidR="00015F12" w:rsidRDefault="00015F12" w:rsidP="004B6B2E">
      <w:pPr>
        <w:pStyle w:val="NoSpacing"/>
        <w:rPr>
          <w:sz w:val="4"/>
          <w:szCs w:val="4"/>
          <w:lang w:val="en-US"/>
        </w:rPr>
      </w:pPr>
    </w:p>
    <w:p w:rsidR="00015F12" w:rsidRDefault="005E055F" w:rsidP="00015F12">
      <w:pPr>
        <w:ind w:left="720" w:hanging="720"/>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5591810</wp:posOffset>
                </wp:positionH>
                <wp:positionV relativeFrom="paragraph">
                  <wp:posOffset>242570</wp:posOffset>
                </wp:positionV>
                <wp:extent cx="523240" cy="241935"/>
                <wp:effectExtent l="10160" t="1397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EA7BAD" w:rsidP="00015F12">
                            <w:pPr>
                              <w:rPr>
                                <w:szCs w:val="20"/>
                              </w:rPr>
                            </w:pPr>
                            <w:r>
                              <w:rPr>
                                <w:szCs w:val="20"/>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0.3pt;margin-top:19.1pt;width:41.2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">
                <v:textbox>
                  <w:txbxContent>
                    <w:p w:rsidR="00015F12" w:rsidRPr="00F16503" w:rsidRDefault="00EA7BAD" w:rsidP="00015F12">
                      <w:pPr>
                        <w:rPr>
                          <w:szCs w:val="20"/>
                        </w:rPr>
                      </w:pPr>
                      <w:r>
                        <w:rPr>
                          <w:szCs w:val="20"/>
                        </w:rPr>
                        <w:t>y</w:t>
                      </w:r>
                    </w:p>
                  </w:txbxContent>
                </v:textbox>
              </v:shape>
            </w:pict>
          </mc:Fallback>
        </mc:AlternateContent>
      </w:r>
      <w:r w:rsidR="00015F12">
        <w:rPr>
          <w:rFonts w:ascii="Arial" w:hAnsi="Arial" w:cs="Arial"/>
        </w:rPr>
        <w:t>Q1</w:t>
      </w:r>
      <w:r w:rsidR="00015F12">
        <w:rPr>
          <w:rFonts w:ascii="Arial" w:hAnsi="Arial" w:cs="Arial"/>
        </w:rPr>
        <w:tab/>
        <w:t>Is it a major development which is of more than local importance?</w:t>
      </w:r>
      <w:r w:rsidR="00015F12">
        <w:rPr>
          <w:rFonts w:ascii="Arial" w:hAnsi="Arial" w:cs="Arial"/>
        </w:rPr>
        <w:tab/>
      </w:r>
      <w:r w:rsidR="00015F12">
        <w:rPr>
          <w:rFonts w:ascii="Arial" w:hAnsi="Arial" w:cs="Arial"/>
        </w:rPr>
        <w:tab/>
      </w:r>
      <w:r w:rsidR="00015F12">
        <w:rPr>
          <w:rFonts w:ascii="Arial" w:hAnsi="Arial" w:cs="Arial"/>
        </w:rPr>
        <w:tab/>
      </w:r>
    </w:p>
    <w:p w:rsidR="00015F12" w:rsidRDefault="005E055F" w:rsidP="00015F12">
      <w:pPr>
        <w:ind w:left="720" w:hanging="720"/>
        <w:rPr>
          <w:rFonts w:ascii="Arial" w:hAnsi="Arial" w:cs="Arial"/>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5591810</wp:posOffset>
                </wp:positionH>
                <wp:positionV relativeFrom="paragraph">
                  <wp:posOffset>232410</wp:posOffset>
                </wp:positionV>
                <wp:extent cx="523240" cy="241935"/>
                <wp:effectExtent l="10160" t="13335" r="952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EA7BAD"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40.3pt;margin-top:18.3pt;width:41.2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">
                <v:textbox>
                  <w:txbxContent>
                    <w:p w:rsidR="00015F12" w:rsidRPr="00F16503" w:rsidRDefault="00EA7BAD" w:rsidP="00015F12">
                      <w:pPr>
                        <w:rPr>
                          <w:szCs w:val="20"/>
                        </w:rPr>
                      </w:pPr>
                      <w:r>
                        <w:rPr>
                          <w:szCs w:val="20"/>
                        </w:rPr>
                        <w:t>n</w:t>
                      </w:r>
                    </w:p>
                  </w:txbxContent>
                </v:textbox>
              </v:shape>
            </w:pict>
          </mc:Fallback>
        </mc:AlternateContent>
      </w:r>
      <w:r w:rsidR="00015F12">
        <w:rPr>
          <w:rFonts w:ascii="Arial" w:hAnsi="Arial" w:cs="Arial"/>
        </w:rPr>
        <w:t>Q2</w:t>
      </w:r>
      <w:r w:rsidR="00015F12">
        <w:rPr>
          <w:rFonts w:ascii="Arial" w:hAnsi="Arial" w:cs="Arial"/>
        </w:rPr>
        <w:tab/>
        <w:t>Does it affect a particularly environmentally sensitive or vulnerable location?</w:t>
      </w:r>
    </w:p>
    <w:p w:rsidR="00015F12" w:rsidRDefault="00015F12" w:rsidP="00015F12">
      <w:pPr>
        <w:ind w:left="720" w:hanging="720"/>
        <w:rPr>
          <w:rFonts w:ascii="Arial" w:hAnsi="Arial" w:cs="Arial"/>
        </w:rPr>
      </w:pPr>
      <w:r>
        <w:rPr>
          <w:rFonts w:ascii="Arial" w:hAnsi="Arial" w:cs="Arial"/>
        </w:rPr>
        <w:t>Q3</w:t>
      </w:r>
      <w:r>
        <w:rPr>
          <w:rFonts w:ascii="Arial" w:hAnsi="Arial" w:cs="Arial"/>
        </w:rPr>
        <w:tab/>
        <w:t>Does it have unusually complex and potentially hazardous environmental effects?</w:t>
      </w:r>
    </w:p>
    <w:p w:rsidR="00015F12" w:rsidRDefault="00015F12" w:rsidP="00015F12">
      <w:pPr>
        <w:ind w:left="720" w:hanging="720"/>
        <w:rPr>
          <w:rFonts w:ascii="Arial" w:hAnsi="Arial" w:cs="Arial"/>
        </w:rPr>
      </w:pPr>
    </w:p>
    <w:p w:rsidR="00015F12" w:rsidRPr="00015F12" w:rsidRDefault="00015F12" w:rsidP="00015F12">
      <w:pPr>
        <w:ind w:left="720" w:hanging="720"/>
        <w:outlineLvl w:val="0"/>
        <w:rPr>
          <w:rFonts w:ascii="Arial" w:hAnsi="Arial" w:cs="Arial"/>
          <w:b/>
          <w:u w:val="single"/>
        </w:rPr>
      </w:pPr>
      <w:r w:rsidRPr="00D46B9B">
        <w:rPr>
          <w:rFonts w:ascii="Arial" w:hAnsi="Arial" w:cs="Arial"/>
          <w:b/>
          <w:u w:val="single"/>
        </w:rPr>
        <w:t>Conclusion</w:t>
      </w:r>
      <w:r w:rsidR="005E055F">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93345</wp:posOffset>
                </wp:positionV>
                <wp:extent cx="1371600" cy="3429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15F12" w:rsidRPr="00F16503" w:rsidRDefault="00EA7BAD" w:rsidP="00015F12">
                            <w:r>
                              <w:t>Not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4.5pt;margin-top:7.3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xWKwIAAFc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">
                <v:textbox>
                  <w:txbxContent>
                    <w:p w:rsidR="00015F12" w:rsidRPr="00F16503" w:rsidRDefault="00EA7BAD" w:rsidP="00015F12">
                      <w:r>
                        <w:t>Not Required</w:t>
                      </w:r>
                    </w:p>
                  </w:txbxContent>
                </v:textbox>
              </v:shape>
            </w:pict>
          </mc:Fallback>
        </mc:AlternateContent>
      </w:r>
    </w:p>
    <w:p w:rsidR="00015F12" w:rsidRDefault="00015F12" w:rsidP="00015F12">
      <w:pPr>
        <w:ind w:left="720" w:hanging="720"/>
        <w:rPr>
          <w:rFonts w:ascii="Arial" w:hAnsi="Arial" w:cs="Arial"/>
        </w:rPr>
      </w:pPr>
      <w:r>
        <w:rPr>
          <w:rFonts w:ascii="Arial" w:hAnsi="Arial" w:cs="Arial"/>
        </w:rPr>
        <w:t xml:space="preserve">Environmental Impact Assessment   </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7434F2" w:rsidRDefault="00015F12" w:rsidP="004B6B2E">
      <w:pPr>
        <w:pStyle w:val="NoSpacing"/>
        <w:rPr>
          <w:sz w:val="4"/>
          <w:szCs w:val="4"/>
          <w:lang w:val="en-US"/>
        </w:rPr>
      </w:pPr>
    </w:p>
    <w:p w:rsidR="004B6B2E" w:rsidRPr="004B6B2E" w:rsidRDefault="004B6B2E" w:rsidP="004B6B2E">
      <w:pPr>
        <w:pStyle w:val="NoSpacing"/>
        <w:rPr>
          <w:lang w:val="en-US"/>
        </w:rPr>
      </w:pPr>
    </w:p>
    <w:p w:rsidR="00313516" w:rsidRPr="000A0B0A" w:rsidRDefault="00313516" w:rsidP="00764C7D">
      <w:pPr>
        <w:pStyle w:val="NoSpacing"/>
        <w:rPr>
          <w:sz w:val="24"/>
        </w:rPr>
      </w:pPr>
    </w:p>
    <w:sectPr w:rsidR="00313516" w:rsidRPr="000A0B0A" w:rsidSect="00DE05EB">
      <w:headerReference w:type="default" r:id="rId8"/>
      <w:footerReference w:type="default" r:id="rId9"/>
      <w:headerReference w:type="first" r:id="rId10"/>
      <w:footerReference w:type="first" r:id="rId11"/>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71" w:rsidRDefault="00164C71" w:rsidP="0080677F">
      <w:pPr>
        <w:spacing w:after="0" w:line="240" w:lineRule="auto"/>
      </w:pPr>
      <w:r>
        <w:separator/>
      </w:r>
    </w:p>
  </w:endnote>
  <w:endnote w:type="continuationSeparator" w:id="0">
    <w:p w:rsidR="00164C71" w:rsidRDefault="00164C71"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71" w:rsidRDefault="00164C71" w:rsidP="0080677F">
      <w:pPr>
        <w:spacing w:after="0" w:line="240" w:lineRule="auto"/>
      </w:pPr>
      <w:r>
        <w:separator/>
      </w:r>
    </w:p>
  </w:footnote>
  <w:footnote w:type="continuationSeparator" w:id="0">
    <w:p w:rsidR="00164C71" w:rsidRDefault="00164C71"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5E055F">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846DA"/>
    <w:multiLevelType w:val="hybridMultilevel"/>
    <w:tmpl w:val="B19C24B2"/>
    <w:lvl w:ilvl="0" w:tplc="08090013">
      <w:start w:val="1"/>
      <w:numFmt w:val="upperRoman"/>
      <w:lvlText w:val="%1."/>
      <w:lvlJc w:val="right"/>
      <w:pPr>
        <w:tabs>
          <w:tab w:val="num" w:pos="720"/>
        </w:tabs>
        <w:ind w:left="720" w:hanging="18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15F12"/>
    <w:rsid w:val="00033D08"/>
    <w:rsid w:val="000A0B0A"/>
    <w:rsid w:val="001013CE"/>
    <w:rsid w:val="00113B2A"/>
    <w:rsid w:val="00164C71"/>
    <w:rsid w:val="0019222A"/>
    <w:rsid w:val="001A5CFD"/>
    <w:rsid w:val="001D0E8C"/>
    <w:rsid w:val="001D5BCF"/>
    <w:rsid w:val="00202D7F"/>
    <w:rsid w:val="002173AD"/>
    <w:rsid w:val="0023685D"/>
    <w:rsid w:val="0024567A"/>
    <w:rsid w:val="002518AB"/>
    <w:rsid w:val="002765BB"/>
    <w:rsid w:val="002B4D9C"/>
    <w:rsid w:val="00313516"/>
    <w:rsid w:val="00351653"/>
    <w:rsid w:val="00394184"/>
    <w:rsid w:val="003951A8"/>
    <w:rsid w:val="003C2784"/>
    <w:rsid w:val="003E26AB"/>
    <w:rsid w:val="003E7814"/>
    <w:rsid w:val="00400FCE"/>
    <w:rsid w:val="004200D3"/>
    <w:rsid w:val="004265D7"/>
    <w:rsid w:val="00454C43"/>
    <w:rsid w:val="0046327C"/>
    <w:rsid w:val="0048509D"/>
    <w:rsid w:val="004B4C44"/>
    <w:rsid w:val="004B6B2E"/>
    <w:rsid w:val="00507A86"/>
    <w:rsid w:val="00553832"/>
    <w:rsid w:val="00573D8D"/>
    <w:rsid w:val="005B1E23"/>
    <w:rsid w:val="005E055F"/>
    <w:rsid w:val="00624A7D"/>
    <w:rsid w:val="00686696"/>
    <w:rsid w:val="006E5DE6"/>
    <w:rsid w:val="00722ABF"/>
    <w:rsid w:val="007365F5"/>
    <w:rsid w:val="007434F2"/>
    <w:rsid w:val="00764C7D"/>
    <w:rsid w:val="007A3CF2"/>
    <w:rsid w:val="007B3A7C"/>
    <w:rsid w:val="00802321"/>
    <w:rsid w:val="00802FD8"/>
    <w:rsid w:val="0080677F"/>
    <w:rsid w:val="00806862"/>
    <w:rsid w:val="00813B1E"/>
    <w:rsid w:val="0084300F"/>
    <w:rsid w:val="008552A2"/>
    <w:rsid w:val="0086774B"/>
    <w:rsid w:val="00887FFD"/>
    <w:rsid w:val="00901B0D"/>
    <w:rsid w:val="00902855"/>
    <w:rsid w:val="0093097C"/>
    <w:rsid w:val="0093102A"/>
    <w:rsid w:val="0096030F"/>
    <w:rsid w:val="00966B27"/>
    <w:rsid w:val="00971A37"/>
    <w:rsid w:val="0099452A"/>
    <w:rsid w:val="009E773C"/>
    <w:rsid w:val="00A261C2"/>
    <w:rsid w:val="00AE100C"/>
    <w:rsid w:val="00AE1267"/>
    <w:rsid w:val="00AF06A2"/>
    <w:rsid w:val="00AF7FF5"/>
    <w:rsid w:val="00B03891"/>
    <w:rsid w:val="00B4129D"/>
    <w:rsid w:val="00B44F36"/>
    <w:rsid w:val="00B56CC4"/>
    <w:rsid w:val="00BA627D"/>
    <w:rsid w:val="00BB4135"/>
    <w:rsid w:val="00C373EE"/>
    <w:rsid w:val="00C379D9"/>
    <w:rsid w:val="00C5351C"/>
    <w:rsid w:val="00C61471"/>
    <w:rsid w:val="00C77169"/>
    <w:rsid w:val="00C8054D"/>
    <w:rsid w:val="00C83AAF"/>
    <w:rsid w:val="00CA0D98"/>
    <w:rsid w:val="00CA1204"/>
    <w:rsid w:val="00CB3211"/>
    <w:rsid w:val="00D00745"/>
    <w:rsid w:val="00D205F5"/>
    <w:rsid w:val="00D46B9B"/>
    <w:rsid w:val="00D84AEA"/>
    <w:rsid w:val="00D922AD"/>
    <w:rsid w:val="00D934EE"/>
    <w:rsid w:val="00DB0720"/>
    <w:rsid w:val="00DB5E75"/>
    <w:rsid w:val="00DC6B03"/>
    <w:rsid w:val="00DE05EB"/>
    <w:rsid w:val="00DE4ED2"/>
    <w:rsid w:val="00E1587A"/>
    <w:rsid w:val="00E4519D"/>
    <w:rsid w:val="00E73D64"/>
    <w:rsid w:val="00EA3FDC"/>
    <w:rsid w:val="00EA689E"/>
    <w:rsid w:val="00EA7BAD"/>
    <w:rsid w:val="00EC14BE"/>
    <w:rsid w:val="00F16503"/>
    <w:rsid w:val="00F43E4D"/>
    <w:rsid w:val="00F51B44"/>
    <w:rsid w:val="00F7718F"/>
    <w:rsid w:val="00F837C3"/>
    <w:rsid w:val="00FA31F3"/>
    <w:rsid w:val="00FA4102"/>
    <w:rsid w:val="00FA44B7"/>
    <w:rsid w:val="00FC6414"/>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912560EC-CBA7-4867-9DB6-11FF2FF2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54685">
      <w:marLeft w:val="0"/>
      <w:marRight w:val="0"/>
      <w:marTop w:val="0"/>
      <w:marBottom w:val="0"/>
      <w:divBdr>
        <w:top w:val="none" w:sz="0" w:space="0" w:color="auto"/>
        <w:left w:val="none" w:sz="0" w:space="0" w:color="auto"/>
        <w:bottom w:val="none" w:sz="0" w:space="0" w:color="auto"/>
        <w:right w:val="none" w:sz="0" w:space="0" w:color="auto"/>
      </w:divBdr>
    </w:div>
    <w:div w:id="1543054686">
      <w:marLeft w:val="0"/>
      <w:marRight w:val="0"/>
      <w:marTop w:val="0"/>
      <w:marBottom w:val="0"/>
      <w:divBdr>
        <w:top w:val="none" w:sz="0" w:space="0" w:color="auto"/>
        <w:left w:val="none" w:sz="0" w:space="0" w:color="auto"/>
        <w:bottom w:val="none" w:sz="0" w:space="0" w:color="auto"/>
        <w:right w:val="none" w:sz="0" w:space="0" w:color="auto"/>
      </w:divBdr>
    </w:div>
    <w:div w:id="1543054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592D-EABE-4166-9D93-6797E437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15</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5</cp:revision>
  <cp:lastPrinted>2012-02-10T14:17:00Z</cp:lastPrinted>
  <dcterms:created xsi:type="dcterms:W3CDTF">2016-07-27T08:06:00Z</dcterms:created>
  <dcterms:modified xsi:type="dcterms:W3CDTF">2016-07-27T12:24:00Z</dcterms:modified>
</cp:coreProperties>
</file>