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P/16/061/FUL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Pr="004B6B2E">
              <w:rPr>
                <w:lang w:val="en-US"/>
              </w:rPr>
              <w:t>Mrs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27th July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(i) of Schedule 2 of the EIA Regs</w:t>
      </w: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748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small porch extension and replacing windows with a glazed door.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significant additions other than a small domestic extension.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production of waste through the removal of windows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pollution or other nuisance.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B50230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50230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B50230">
              <w:rPr>
                <w:rFonts w:cs="Arial"/>
              </w:rPr>
              <w:t>residential and tourism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B50230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B50230">
              <w:rPr>
                <w:rFonts w:cs="Arial"/>
              </w:rPr>
              <w:t>existing building and its curtilage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 proposed dwelling would be permanent and irreversible.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B50230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50230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B50230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B50230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50230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B50230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B50230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50230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B50230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B502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50230" w:rsidP="00015F12">
                            <w:r>
                              <w:t>Not 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B50230" w:rsidP="00015F12">
                      <w:r>
                        <w:t>Not 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E9" w:rsidRDefault="008B49E9" w:rsidP="0080677F">
      <w:pPr>
        <w:spacing w:after="0" w:line="240" w:lineRule="auto"/>
      </w:pPr>
      <w:r>
        <w:separator/>
      </w:r>
    </w:p>
  </w:endnote>
  <w:endnote w:type="continuationSeparator" w:id="0">
    <w:p w:rsidR="008B49E9" w:rsidRDefault="008B49E9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E9" w:rsidRDefault="008B49E9" w:rsidP="0080677F">
      <w:pPr>
        <w:spacing w:after="0" w:line="240" w:lineRule="auto"/>
      </w:pPr>
      <w:r>
        <w:separator/>
      </w:r>
    </w:p>
  </w:footnote>
  <w:footnote w:type="continuationSeparator" w:id="0">
    <w:p w:rsidR="008B49E9" w:rsidRDefault="008B49E9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B50230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8B49E9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0230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EE13-7A80-4AEB-8C7D-50923491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 Walton</cp:lastModifiedBy>
  <cp:revision>2</cp:revision>
  <cp:lastPrinted>2012-02-10T14:17:00Z</cp:lastPrinted>
  <dcterms:created xsi:type="dcterms:W3CDTF">2016-07-27T09:16:00Z</dcterms:created>
  <dcterms:modified xsi:type="dcterms:W3CDTF">2016-07-27T09:16:00Z</dcterms:modified>
</cp:coreProperties>
</file>