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303394" w14:textId="77777777" w:rsidR="005F3C9F" w:rsidRPr="008C3B45" w:rsidRDefault="005F3C9F" w:rsidP="00193DDB">
      <w:pPr>
        <w:spacing w:line="276" w:lineRule="auto"/>
        <w:ind w:left="0" w:firstLine="720"/>
        <w:rPr>
          <w:rFonts w:ascii="Arial" w:hAnsi="Arial"/>
          <w:b/>
          <w:sz w:val="28"/>
          <w:szCs w:val="28"/>
        </w:rPr>
      </w:pPr>
      <w:r w:rsidRPr="008C3B45">
        <w:rPr>
          <w:rFonts w:ascii="Arial" w:hAnsi="Arial"/>
          <w:b/>
          <w:sz w:val="28"/>
          <w:szCs w:val="28"/>
        </w:rPr>
        <w:t>Council of the Isles of Scilly report</w:t>
      </w:r>
    </w:p>
    <w:p w14:paraId="24375FC7" w14:textId="77777777" w:rsidR="005F3C9F" w:rsidRPr="008C3B45" w:rsidRDefault="005F3C9F" w:rsidP="00193DDB">
      <w:pPr>
        <w:spacing w:line="276" w:lineRule="auto"/>
        <w:ind w:left="0" w:firstLine="720"/>
        <w:rPr>
          <w:rFonts w:ascii="Arial" w:hAnsi="Arial"/>
          <w:b/>
          <w:sz w:val="28"/>
          <w:szCs w:val="28"/>
        </w:rPr>
      </w:pPr>
    </w:p>
    <w:tbl>
      <w:tblPr>
        <w:tblpPr w:leftFromText="180" w:rightFromText="180" w:vertAnchor="text" w:horzAnchor="margin" w:tblpY="203"/>
        <w:tblW w:w="0" w:type="auto"/>
        <w:tblBorders>
          <w:top w:val="single" w:sz="4" w:space="0" w:color="auto"/>
          <w:bottom w:val="single" w:sz="4" w:space="0" w:color="auto"/>
          <w:insideH w:val="single" w:sz="4" w:space="0" w:color="auto"/>
        </w:tblBorders>
        <w:tblCellMar>
          <w:top w:w="85" w:type="dxa"/>
          <w:bottom w:w="57" w:type="dxa"/>
        </w:tblCellMar>
        <w:tblLook w:val="0000" w:firstRow="0" w:lastRow="0" w:firstColumn="0" w:lastColumn="0" w:noHBand="0" w:noVBand="0"/>
      </w:tblPr>
      <w:tblGrid>
        <w:gridCol w:w="709"/>
        <w:gridCol w:w="1418"/>
        <w:gridCol w:w="6947"/>
      </w:tblGrid>
      <w:tr w:rsidR="001A50E7" w:rsidRPr="008C3B45" w14:paraId="331D4DE6" w14:textId="77777777" w:rsidTr="001A50E7">
        <w:trPr>
          <w:trHeight w:val="624"/>
        </w:trPr>
        <w:tc>
          <w:tcPr>
            <w:tcW w:w="709" w:type="dxa"/>
            <w:tcBorders>
              <w:top w:val="nil"/>
              <w:bottom w:val="nil"/>
            </w:tcBorders>
          </w:tcPr>
          <w:p w14:paraId="7B6212CE" w14:textId="77777777" w:rsidR="001A50E7" w:rsidRPr="008C3B45" w:rsidRDefault="001A50E7" w:rsidP="00193DDB">
            <w:pPr>
              <w:spacing w:line="276" w:lineRule="auto"/>
              <w:ind w:left="0" w:firstLine="0"/>
              <w:rPr>
                <w:rFonts w:ascii="Arial" w:hAnsi="Arial"/>
                <w:b/>
                <w:sz w:val="48"/>
                <w:szCs w:val="36"/>
              </w:rPr>
            </w:pPr>
          </w:p>
        </w:tc>
        <w:tc>
          <w:tcPr>
            <w:tcW w:w="8365" w:type="dxa"/>
            <w:gridSpan w:val="2"/>
            <w:tcBorders>
              <w:top w:val="nil"/>
            </w:tcBorders>
            <w:vAlign w:val="center"/>
          </w:tcPr>
          <w:p w14:paraId="7C786DE8" w14:textId="62ED37BB" w:rsidR="001A50E7" w:rsidRPr="008C3B45" w:rsidRDefault="008E5CA9" w:rsidP="00193DDB">
            <w:pPr>
              <w:spacing w:line="276" w:lineRule="auto"/>
              <w:ind w:left="0" w:firstLine="0"/>
              <w:rPr>
                <w:rFonts w:ascii="Arial" w:hAnsi="Arial"/>
              </w:rPr>
            </w:pPr>
            <w:r>
              <w:rPr>
                <w:rFonts w:ascii="Arial" w:hAnsi="Arial"/>
                <w:b/>
                <w:sz w:val="48"/>
                <w:szCs w:val="36"/>
              </w:rPr>
              <w:t>P/21/0</w:t>
            </w:r>
            <w:r w:rsidR="00875AC3">
              <w:rPr>
                <w:rFonts w:ascii="Arial" w:hAnsi="Arial"/>
                <w:b/>
                <w:sz w:val="48"/>
                <w:szCs w:val="36"/>
              </w:rPr>
              <w:t>50</w:t>
            </w:r>
            <w:r>
              <w:rPr>
                <w:rFonts w:ascii="Arial" w:hAnsi="Arial"/>
                <w:b/>
                <w:sz w:val="48"/>
                <w:szCs w:val="36"/>
              </w:rPr>
              <w:t xml:space="preserve">/FUL </w:t>
            </w:r>
            <w:r w:rsidR="00875AC3">
              <w:rPr>
                <w:rFonts w:ascii="Arial" w:hAnsi="Arial"/>
                <w:b/>
                <w:sz w:val="48"/>
                <w:szCs w:val="36"/>
              </w:rPr>
              <w:t>Porthmellon</w:t>
            </w:r>
            <w:r w:rsidR="004B450C">
              <w:rPr>
                <w:rFonts w:ascii="Arial" w:hAnsi="Arial"/>
                <w:b/>
                <w:sz w:val="48"/>
                <w:szCs w:val="36"/>
              </w:rPr>
              <w:t xml:space="preserve"> Beach, </w:t>
            </w:r>
            <w:r w:rsidR="00875AC3">
              <w:rPr>
                <w:rFonts w:ascii="Arial" w:hAnsi="Arial"/>
                <w:b/>
                <w:sz w:val="48"/>
                <w:szCs w:val="36"/>
              </w:rPr>
              <w:t>Telegraph Road</w:t>
            </w:r>
            <w:r w:rsidR="004B450C">
              <w:rPr>
                <w:rFonts w:ascii="Arial" w:hAnsi="Arial"/>
                <w:b/>
                <w:sz w:val="48"/>
                <w:szCs w:val="36"/>
              </w:rPr>
              <w:t xml:space="preserve"> St Mary’s</w:t>
            </w:r>
            <w:r>
              <w:rPr>
                <w:rFonts w:ascii="Arial" w:hAnsi="Arial"/>
                <w:b/>
                <w:sz w:val="48"/>
                <w:szCs w:val="36"/>
              </w:rPr>
              <w:t xml:space="preserve">: </w:t>
            </w:r>
            <w:r w:rsidR="00875AC3">
              <w:t xml:space="preserve"> </w:t>
            </w:r>
            <w:r w:rsidR="00875AC3" w:rsidRPr="00875AC3">
              <w:rPr>
                <w:rFonts w:ascii="Arial" w:hAnsi="Arial"/>
                <w:b/>
                <w:bCs/>
                <w:sz w:val="32"/>
                <w:szCs w:val="32"/>
              </w:rPr>
              <w:t>Construction of a rock armour revetment in the south west corner of Porth Mellon Beach. Formalising pedestrian beach access track. (EIA Development) (Major Development).</w:t>
            </w:r>
          </w:p>
        </w:tc>
      </w:tr>
      <w:tr w:rsidR="001A50E7" w:rsidRPr="008C3B45" w14:paraId="5A07D862" w14:textId="77777777" w:rsidTr="001A50E7">
        <w:trPr>
          <w:trHeight w:val="624"/>
        </w:trPr>
        <w:tc>
          <w:tcPr>
            <w:tcW w:w="709" w:type="dxa"/>
            <w:tcBorders>
              <w:top w:val="nil"/>
              <w:bottom w:val="nil"/>
            </w:tcBorders>
          </w:tcPr>
          <w:p w14:paraId="06424AB3" w14:textId="77777777" w:rsidR="001A50E7" w:rsidRPr="008C3B45" w:rsidRDefault="001A50E7" w:rsidP="00193DDB">
            <w:pPr>
              <w:spacing w:line="276" w:lineRule="auto"/>
              <w:rPr>
                <w:rFonts w:ascii="Arial" w:hAnsi="Arial"/>
                <w:b/>
              </w:rPr>
            </w:pPr>
          </w:p>
        </w:tc>
        <w:tc>
          <w:tcPr>
            <w:tcW w:w="1418" w:type="dxa"/>
            <w:vAlign w:val="center"/>
          </w:tcPr>
          <w:p w14:paraId="383855D9" w14:textId="77777777" w:rsidR="001A50E7" w:rsidRPr="008C3B45" w:rsidRDefault="001A50E7" w:rsidP="00193DDB">
            <w:pPr>
              <w:spacing w:line="276" w:lineRule="auto"/>
              <w:rPr>
                <w:rFonts w:ascii="Arial" w:hAnsi="Arial"/>
                <w:b/>
              </w:rPr>
            </w:pPr>
            <w:r w:rsidRPr="008C3B45">
              <w:rPr>
                <w:rFonts w:ascii="Arial" w:hAnsi="Arial"/>
                <w:b/>
              </w:rPr>
              <w:t>Date</w:t>
            </w:r>
          </w:p>
        </w:tc>
        <w:tc>
          <w:tcPr>
            <w:tcW w:w="6947" w:type="dxa"/>
            <w:vAlign w:val="center"/>
          </w:tcPr>
          <w:p w14:paraId="64422EBC" w14:textId="3816D652" w:rsidR="001A50E7" w:rsidRPr="008C3B45" w:rsidRDefault="00E60399" w:rsidP="00193DDB">
            <w:pPr>
              <w:spacing w:line="276" w:lineRule="auto"/>
              <w:ind w:left="0" w:firstLine="0"/>
              <w:rPr>
                <w:rFonts w:ascii="Arial" w:hAnsi="Arial"/>
              </w:rPr>
            </w:pPr>
            <w:r>
              <w:rPr>
                <w:rFonts w:ascii="Arial" w:hAnsi="Arial"/>
              </w:rPr>
              <w:t>19</w:t>
            </w:r>
            <w:r w:rsidRPr="00E60399">
              <w:rPr>
                <w:rFonts w:ascii="Arial" w:hAnsi="Arial"/>
                <w:vertAlign w:val="superscript"/>
              </w:rPr>
              <w:t>th</w:t>
            </w:r>
            <w:r>
              <w:rPr>
                <w:rFonts w:ascii="Arial" w:hAnsi="Arial"/>
              </w:rPr>
              <w:t xml:space="preserve"> October</w:t>
            </w:r>
            <w:r w:rsidR="008E5CA9">
              <w:rPr>
                <w:rFonts w:ascii="Arial" w:hAnsi="Arial"/>
              </w:rPr>
              <w:t xml:space="preserve"> 2021</w:t>
            </w:r>
          </w:p>
        </w:tc>
      </w:tr>
      <w:tr w:rsidR="001A50E7" w:rsidRPr="008C3B45" w14:paraId="5E19E620" w14:textId="77777777" w:rsidTr="001A50E7">
        <w:trPr>
          <w:trHeight w:val="624"/>
        </w:trPr>
        <w:tc>
          <w:tcPr>
            <w:tcW w:w="709" w:type="dxa"/>
            <w:tcBorders>
              <w:top w:val="nil"/>
              <w:bottom w:val="nil"/>
            </w:tcBorders>
          </w:tcPr>
          <w:p w14:paraId="7A050BA1" w14:textId="77777777" w:rsidR="001A50E7" w:rsidRPr="008C3B45" w:rsidRDefault="001A50E7" w:rsidP="00193DDB">
            <w:pPr>
              <w:spacing w:line="276" w:lineRule="auto"/>
              <w:rPr>
                <w:rFonts w:ascii="Arial" w:hAnsi="Arial"/>
                <w:b/>
              </w:rPr>
            </w:pPr>
          </w:p>
        </w:tc>
        <w:tc>
          <w:tcPr>
            <w:tcW w:w="1418" w:type="dxa"/>
            <w:vAlign w:val="center"/>
          </w:tcPr>
          <w:p w14:paraId="2E9C0C23" w14:textId="77777777" w:rsidR="001A50E7" w:rsidRPr="008C3B45" w:rsidRDefault="001A50E7" w:rsidP="00193DDB">
            <w:pPr>
              <w:spacing w:line="276" w:lineRule="auto"/>
              <w:rPr>
                <w:rFonts w:ascii="Arial" w:hAnsi="Arial"/>
                <w:b/>
              </w:rPr>
            </w:pPr>
            <w:r w:rsidRPr="008C3B45">
              <w:rPr>
                <w:rFonts w:ascii="Arial" w:hAnsi="Arial"/>
                <w:b/>
              </w:rPr>
              <w:t>Meeting</w:t>
            </w:r>
          </w:p>
        </w:tc>
        <w:tc>
          <w:tcPr>
            <w:tcW w:w="6947" w:type="dxa"/>
            <w:vAlign w:val="center"/>
          </w:tcPr>
          <w:p w14:paraId="338A5CE1" w14:textId="2C7C6A61" w:rsidR="001A50E7" w:rsidRPr="008C3B45" w:rsidRDefault="008E5CA9" w:rsidP="00193DDB">
            <w:pPr>
              <w:spacing w:line="276" w:lineRule="auto"/>
              <w:ind w:left="0" w:firstLine="0"/>
              <w:rPr>
                <w:rFonts w:ascii="Arial" w:hAnsi="Arial"/>
              </w:rPr>
            </w:pPr>
            <w:r>
              <w:rPr>
                <w:rFonts w:ascii="Arial" w:hAnsi="Arial"/>
              </w:rPr>
              <w:t>Full Council</w:t>
            </w:r>
          </w:p>
        </w:tc>
      </w:tr>
      <w:tr w:rsidR="001A50E7" w:rsidRPr="008C3B45" w14:paraId="2A6B8E08" w14:textId="77777777" w:rsidTr="001A50E7">
        <w:trPr>
          <w:trHeight w:val="624"/>
        </w:trPr>
        <w:tc>
          <w:tcPr>
            <w:tcW w:w="709" w:type="dxa"/>
            <w:tcBorders>
              <w:top w:val="nil"/>
              <w:bottom w:val="nil"/>
            </w:tcBorders>
          </w:tcPr>
          <w:p w14:paraId="229E30EB" w14:textId="77777777" w:rsidR="001A50E7" w:rsidRPr="008C3B45" w:rsidRDefault="001A50E7" w:rsidP="00193DDB">
            <w:pPr>
              <w:spacing w:line="276" w:lineRule="auto"/>
              <w:rPr>
                <w:rFonts w:ascii="Arial" w:hAnsi="Arial"/>
                <w:b/>
              </w:rPr>
            </w:pPr>
          </w:p>
        </w:tc>
        <w:tc>
          <w:tcPr>
            <w:tcW w:w="1418" w:type="dxa"/>
            <w:vAlign w:val="center"/>
          </w:tcPr>
          <w:p w14:paraId="29C7724D" w14:textId="77777777" w:rsidR="001A50E7" w:rsidRPr="008C3B45" w:rsidRDefault="001A50E7" w:rsidP="00193DDB">
            <w:pPr>
              <w:spacing w:line="276" w:lineRule="auto"/>
              <w:rPr>
                <w:rFonts w:ascii="Arial" w:hAnsi="Arial"/>
                <w:b/>
              </w:rPr>
            </w:pPr>
            <w:r w:rsidRPr="008C3B45">
              <w:rPr>
                <w:rFonts w:ascii="Arial" w:hAnsi="Arial"/>
                <w:b/>
              </w:rPr>
              <w:t>Part</w:t>
            </w:r>
          </w:p>
        </w:tc>
        <w:tc>
          <w:tcPr>
            <w:tcW w:w="6947" w:type="dxa"/>
            <w:vAlign w:val="center"/>
          </w:tcPr>
          <w:p w14:paraId="6378C006" w14:textId="12D34F43" w:rsidR="001A50E7" w:rsidRPr="008C3B45" w:rsidRDefault="001A50E7" w:rsidP="00193DDB">
            <w:pPr>
              <w:spacing w:line="276" w:lineRule="auto"/>
              <w:ind w:left="0" w:firstLine="0"/>
              <w:rPr>
                <w:rFonts w:ascii="Arial" w:hAnsi="Arial"/>
              </w:rPr>
            </w:pPr>
            <w:r w:rsidRPr="008C3B45">
              <w:rPr>
                <w:rFonts w:ascii="Arial" w:hAnsi="Arial"/>
              </w:rPr>
              <w:t>1</w:t>
            </w:r>
          </w:p>
        </w:tc>
      </w:tr>
      <w:tr w:rsidR="001A50E7" w:rsidRPr="008C3B45" w14:paraId="553727C8" w14:textId="77777777" w:rsidTr="001A50E7">
        <w:trPr>
          <w:trHeight w:val="624"/>
        </w:trPr>
        <w:tc>
          <w:tcPr>
            <w:tcW w:w="709" w:type="dxa"/>
            <w:tcBorders>
              <w:top w:val="nil"/>
              <w:bottom w:val="nil"/>
            </w:tcBorders>
          </w:tcPr>
          <w:p w14:paraId="7B34994D" w14:textId="77777777" w:rsidR="001A50E7" w:rsidRPr="008C3B45" w:rsidRDefault="001A50E7" w:rsidP="00193DDB">
            <w:pPr>
              <w:spacing w:line="276" w:lineRule="auto"/>
              <w:ind w:left="0" w:firstLine="0"/>
              <w:rPr>
                <w:rFonts w:ascii="Arial" w:hAnsi="Arial"/>
                <w:b/>
              </w:rPr>
            </w:pPr>
          </w:p>
        </w:tc>
        <w:tc>
          <w:tcPr>
            <w:tcW w:w="1418" w:type="dxa"/>
            <w:vAlign w:val="center"/>
          </w:tcPr>
          <w:p w14:paraId="2BEA1B5B" w14:textId="77777777" w:rsidR="001A50E7" w:rsidRPr="008C3B45" w:rsidRDefault="001A50E7" w:rsidP="00193DDB">
            <w:pPr>
              <w:spacing w:line="276" w:lineRule="auto"/>
              <w:ind w:left="0" w:firstLine="0"/>
              <w:rPr>
                <w:rFonts w:ascii="Arial" w:hAnsi="Arial"/>
                <w:b/>
              </w:rPr>
            </w:pPr>
            <w:r w:rsidRPr="008C3B45">
              <w:rPr>
                <w:rFonts w:ascii="Arial" w:hAnsi="Arial"/>
                <w:b/>
              </w:rPr>
              <w:t>Authors</w:t>
            </w:r>
          </w:p>
        </w:tc>
        <w:tc>
          <w:tcPr>
            <w:tcW w:w="6947" w:type="dxa"/>
            <w:vAlign w:val="center"/>
          </w:tcPr>
          <w:p w14:paraId="4F28399D" w14:textId="628373A0" w:rsidR="001A50E7" w:rsidRPr="008C3B45" w:rsidRDefault="008E5CA9" w:rsidP="00193DDB">
            <w:pPr>
              <w:spacing w:line="276" w:lineRule="auto"/>
              <w:ind w:left="0" w:firstLine="0"/>
              <w:rPr>
                <w:rFonts w:ascii="Arial" w:hAnsi="Arial"/>
              </w:rPr>
            </w:pPr>
            <w:r>
              <w:rPr>
                <w:rFonts w:ascii="Arial" w:hAnsi="Arial"/>
              </w:rPr>
              <w:t>Lisa Walton, Chief Planning Officer</w:t>
            </w:r>
          </w:p>
        </w:tc>
      </w:tr>
    </w:tbl>
    <w:p w14:paraId="3FFE0523" w14:textId="77777777" w:rsidR="001A4C35" w:rsidRPr="008C3B45" w:rsidRDefault="001A4C35" w:rsidP="00193DDB">
      <w:pPr>
        <w:spacing w:line="276" w:lineRule="auto"/>
        <w:ind w:left="0" w:firstLine="720"/>
        <w:rPr>
          <w:rFonts w:ascii="Arial" w:hAnsi="Arial"/>
          <w:b/>
          <w:sz w:val="28"/>
          <w:szCs w:val="28"/>
        </w:rPr>
      </w:pPr>
    </w:p>
    <w:p w14:paraId="0F17F59F" w14:textId="77777777" w:rsidR="001A50E7" w:rsidRPr="008C3B45" w:rsidRDefault="001A50E7" w:rsidP="00193DDB">
      <w:pPr>
        <w:spacing w:line="276" w:lineRule="auto"/>
        <w:ind w:left="0" w:firstLine="720"/>
        <w:rPr>
          <w:rFonts w:ascii="Arial" w:hAnsi="Arial"/>
          <w:b/>
          <w:sz w:val="28"/>
          <w:szCs w:val="28"/>
        </w:rPr>
      </w:pPr>
    </w:p>
    <w:p w14:paraId="25368970" w14:textId="77777777" w:rsidR="00C6622C" w:rsidRPr="008C3B45" w:rsidRDefault="00C6622C" w:rsidP="00193DDB">
      <w:pPr>
        <w:spacing w:line="276" w:lineRule="auto"/>
        <w:ind w:left="0" w:firstLine="720"/>
        <w:rPr>
          <w:rFonts w:ascii="Arial" w:hAnsi="Arial"/>
          <w:b/>
          <w:sz w:val="28"/>
          <w:szCs w:val="28"/>
        </w:rPr>
      </w:pPr>
      <w:r w:rsidRPr="008C3B45">
        <w:rPr>
          <w:rFonts w:ascii="Arial" w:hAnsi="Arial"/>
          <w:b/>
          <w:sz w:val="28"/>
          <w:szCs w:val="28"/>
        </w:rPr>
        <w:t>Recommendations</w:t>
      </w:r>
    </w:p>
    <w:tbl>
      <w:tblPr>
        <w:tblpPr w:leftFromText="180" w:rightFromText="180" w:vertAnchor="text" w:horzAnchor="margin" w:tblpY="203"/>
        <w:tblW w:w="0" w:type="auto"/>
        <w:tblBorders>
          <w:top w:val="single" w:sz="4" w:space="0" w:color="auto"/>
          <w:bottom w:val="single" w:sz="4" w:space="0" w:color="auto"/>
          <w:insideH w:val="single" w:sz="4" w:space="0" w:color="auto"/>
        </w:tblBorders>
        <w:tblCellMar>
          <w:top w:w="85" w:type="dxa"/>
          <w:bottom w:w="57" w:type="dxa"/>
        </w:tblCellMar>
        <w:tblLook w:val="0000" w:firstRow="0" w:lastRow="0" w:firstColumn="0" w:lastColumn="0" w:noHBand="0" w:noVBand="0"/>
      </w:tblPr>
      <w:tblGrid>
        <w:gridCol w:w="709"/>
        <w:gridCol w:w="953"/>
        <w:gridCol w:w="7412"/>
      </w:tblGrid>
      <w:tr w:rsidR="00E7078A" w:rsidRPr="008C3B45" w14:paraId="417E1037" w14:textId="77777777" w:rsidTr="001D6F0B">
        <w:trPr>
          <w:trHeight w:val="624"/>
        </w:trPr>
        <w:tc>
          <w:tcPr>
            <w:tcW w:w="709" w:type="dxa"/>
            <w:tcBorders>
              <w:top w:val="nil"/>
              <w:bottom w:val="nil"/>
            </w:tcBorders>
          </w:tcPr>
          <w:p w14:paraId="05F8997F" w14:textId="77777777" w:rsidR="00E7078A" w:rsidRPr="008C3B45" w:rsidRDefault="00E7078A" w:rsidP="001D6F0B">
            <w:pPr>
              <w:spacing w:line="276" w:lineRule="auto"/>
              <w:rPr>
                <w:rFonts w:ascii="Arial" w:hAnsi="Arial"/>
                <w:b/>
                <w:sz w:val="28"/>
                <w:szCs w:val="28"/>
              </w:rPr>
            </w:pPr>
          </w:p>
        </w:tc>
        <w:tc>
          <w:tcPr>
            <w:tcW w:w="953" w:type="dxa"/>
            <w:vAlign w:val="center"/>
          </w:tcPr>
          <w:p w14:paraId="2D2561B3" w14:textId="77777777" w:rsidR="00E7078A" w:rsidRPr="008C3B45" w:rsidRDefault="00E7078A" w:rsidP="001D6F0B">
            <w:pPr>
              <w:spacing w:line="276" w:lineRule="auto"/>
              <w:rPr>
                <w:rFonts w:ascii="Arial" w:hAnsi="Arial"/>
                <w:b/>
                <w:sz w:val="28"/>
                <w:szCs w:val="28"/>
              </w:rPr>
            </w:pPr>
            <w:r w:rsidRPr="008C3B45">
              <w:rPr>
                <w:rFonts w:ascii="Arial" w:hAnsi="Arial"/>
                <w:b/>
                <w:sz w:val="28"/>
                <w:szCs w:val="28"/>
              </w:rPr>
              <w:t>1.</w:t>
            </w:r>
          </w:p>
        </w:tc>
        <w:tc>
          <w:tcPr>
            <w:tcW w:w="7412" w:type="dxa"/>
            <w:vAlign w:val="center"/>
          </w:tcPr>
          <w:p w14:paraId="0E21CB39" w14:textId="77777777" w:rsidR="00E7078A" w:rsidRPr="008C3B45" w:rsidRDefault="00E7078A" w:rsidP="001D6F0B">
            <w:pPr>
              <w:spacing w:line="276" w:lineRule="auto"/>
              <w:ind w:left="0" w:firstLine="0"/>
              <w:rPr>
                <w:rFonts w:ascii="Arial" w:hAnsi="Arial"/>
              </w:rPr>
            </w:pPr>
            <w:r w:rsidRPr="008C3B45">
              <w:rPr>
                <w:rFonts w:ascii="Arial" w:hAnsi="Arial"/>
              </w:rPr>
              <w:t>That members</w:t>
            </w:r>
            <w:r>
              <w:rPr>
                <w:rFonts w:ascii="Arial" w:hAnsi="Arial"/>
              </w:rPr>
              <w:t xml:space="preserve"> GRANT planning permission </w:t>
            </w:r>
            <w:r w:rsidRPr="00280D23">
              <w:rPr>
                <w:rFonts w:ascii="Arial" w:hAnsi="Arial"/>
              </w:rPr>
              <w:t xml:space="preserve">for the reasons set out </w:t>
            </w:r>
            <w:r>
              <w:rPr>
                <w:rFonts w:ascii="Arial" w:hAnsi="Arial"/>
              </w:rPr>
              <w:t>in the report and SUBJECT to the conditions set out in Appendix A.</w:t>
            </w:r>
          </w:p>
        </w:tc>
      </w:tr>
      <w:tr w:rsidR="00E7078A" w:rsidRPr="008C3B45" w14:paraId="02039ACD" w14:textId="77777777" w:rsidTr="001D6F0B">
        <w:trPr>
          <w:trHeight w:val="624"/>
        </w:trPr>
        <w:tc>
          <w:tcPr>
            <w:tcW w:w="709" w:type="dxa"/>
            <w:tcBorders>
              <w:top w:val="nil"/>
              <w:bottom w:val="nil"/>
            </w:tcBorders>
          </w:tcPr>
          <w:p w14:paraId="1C40E4E6" w14:textId="77777777" w:rsidR="00E7078A" w:rsidRPr="008C3B45" w:rsidRDefault="00E7078A" w:rsidP="001D6F0B">
            <w:pPr>
              <w:spacing w:line="276" w:lineRule="auto"/>
              <w:rPr>
                <w:rFonts w:ascii="Arial" w:hAnsi="Arial"/>
                <w:b/>
                <w:sz w:val="28"/>
                <w:szCs w:val="28"/>
              </w:rPr>
            </w:pPr>
          </w:p>
        </w:tc>
        <w:tc>
          <w:tcPr>
            <w:tcW w:w="953" w:type="dxa"/>
            <w:vAlign w:val="center"/>
          </w:tcPr>
          <w:p w14:paraId="009A1A02" w14:textId="77777777" w:rsidR="00E7078A" w:rsidRPr="008C3B45" w:rsidRDefault="00E7078A" w:rsidP="001D6F0B">
            <w:pPr>
              <w:spacing w:line="276" w:lineRule="auto"/>
              <w:rPr>
                <w:rFonts w:ascii="Arial" w:hAnsi="Arial"/>
                <w:b/>
                <w:sz w:val="28"/>
                <w:szCs w:val="28"/>
              </w:rPr>
            </w:pPr>
            <w:r w:rsidRPr="008C3B45">
              <w:rPr>
                <w:rFonts w:ascii="Arial" w:hAnsi="Arial"/>
                <w:b/>
                <w:sz w:val="28"/>
                <w:szCs w:val="28"/>
              </w:rPr>
              <w:t>2.</w:t>
            </w:r>
          </w:p>
        </w:tc>
        <w:tc>
          <w:tcPr>
            <w:tcW w:w="7412" w:type="dxa"/>
            <w:vAlign w:val="center"/>
          </w:tcPr>
          <w:p w14:paraId="32E47906" w14:textId="77777777" w:rsidR="00E7078A" w:rsidRPr="008C3B45" w:rsidRDefault="00E7078A" w:rsidP="001D6F0B">
            <w:pPr>
              <w:spacing w:line="276" w:lineRule="auto"/>
              <w:ind w:left="0" w:firstLine="0"/>
              <w:rPr>
                <w:rFonts w:ascii="Arial" w:hAnsi="Arial"/>
              </w:rPr>
            </w:pPr>
            <w:r w:rsidRPr="008C3B45">
              <w:rPr>
                <w:rFonts w:ascii="Arial" w:hAnsi="Arial"/>
              </w:rPr>
              <w:t>That members</w:t>
            </w:r>
            <w:r>
              <w:rPr>
                <w:rFonts w:ascii="Arial" w:hAnsi="Arial"/>
              </w:rPr>
              <w:t xml:space="preserve"> DELEGATE to the Chief Planning Officer any minor changes required to the conditions set out in Appendix A.</w:t>
            </w:r>
          </w:p>
        </w:tc>
      </w:tr>
    </w:tbl>
    <w:p w14:paraId="040543F6" w14:textId="77777777" w:rsidR="00C6622C" w:rsidRPr="008C3B45" w:rsidRDefault="00C6622C" w:rsidP="00193DDB">
      <w:pPr>
        <w:spacing w:line="276" w:lineRule="auto"/>
        <w:ind w:left="0" w:firstLine="0"/>
        <w:rPr>
          <w:rFonts w:ascii="Arial" w:hAnsi="Arial"/>
        </w:rPr>
      </w:pPr>
    </w:p>
    <w:p w14:paraId="590CF328" w14:textId="77777777" w:rsidR="00C6622C" w:rsidRPr="008C3B45" w:rsidRDefault="00C6622C" w:rsidP="00193DDB">
      <w:pPr>
        <w:spacing w:line="276" w:lineRule="auto"/>
        <w:ind w:left="0" w:firstLine="0"/>
        <w:rPr>
          <w:rFonts w:ascii="Arial" w:hAnsi="Arial"/>
        </w:rPr>
      </w:pPr>
    </w:p>
    <w:p w14:paraId="60D9279C" w14:textId="77777777" w:rsidR="00341AB3" w:rsidRPr="008C3B45" w:rsidRDefault="00341AB3" w:rsidP="00193DDB">
      <w:pPr>
        <w:spacing w:line="276" w:lineRule="auto"/>
        <w:ind w:left="0" w:firstLine="0"/>
        <w:rPr>
          <w:rFonts w:ascii="Arial" w:hAnsi="Arial"/>
          <w:b/>
          <w:sz w:val="28"/>
          <w:szCs w:val="28"/>
        </w:rPr>
      </w:pPr>
      <w:r w:rsidRPr="008C3B45">
        <w:rPr>
          <w:rFonts w:ascii="Arial" w:hAnsi="Arial"/>
          <w:b/>
          <w:sz w:val="28"/>
          <w:szCs w:val="28"/>
        </w:rPr>
        <w:br w:type="page"/>
      </w:r>
    </w:p>
    <w:p w14:paraId="0D50246E" w14:textId="77777777" w:rsidR="00B730FC" w:rsidRPr="00B730FC" w:rsidRDefault="00B730FC" w:rsidP="00B730FC">
      <w:pPr>
        <w:pStyle w:val="Committeetemplate"/>
        <w:numPr>
          <w:ilvl w:val="0"/>
          <w:numId w:val="0"/>
        </w:numPr>
        <w:ind w:left="567"/>
        <w:rPr>
          <w:b/>
          <w:bCs/>
          <w:sz w:val="28"/>
          <w:szCs w:val="28"/>
        </w:rPr>
      </w:pPr>
      <w:bookmarkStart w:id="0" w:name="_Hlk83981260"/>
      <w:r w:rsidRPr="00B730FC">
        <w:rPr>
          <w:b/>
          <w:bCs/>
          <w:sz w:val="28"/>
          <w:szCs w:val="28"/>
        </w:rPr>
        <w:lastRenderedPageBreak/>
        <w:t>Site Description and Proposed Development</w:t>
      </w:r>
    </w:p>
    <w:p w14:paraId="4A6A799A" w14:textId="10CE52A9" w:rsidR="000725DA" w:rsidRDefault="00E60399" w:rsidP="00E60399">
      <w:pPr>
        <w:pStyle w:val="Committeetemplate"/>
        <w:spacing w:line="276" w:lineRule="auto"/>
        <w:ind w:left="567" w:hanging="567"/>
      </w:pPr>
      <w:r>
        <w:t xml:space="preserve">This application is one of three concurrent applications for coastal defensive works on St Mary’s. </w:t>
      </w:r>
      <w:r w:rsidR="000725DA" w:rsidRPr="000725DA">
        <w:t>The works at the three sites will support the natural drainage systems at Lower Moors and Higher Moors, reducing the amount of sea water inundation and preserving the island’s freshwater supply whilst protecting residential properties at Porthloo and Porth</w:t>
      </w:r>
      <w:r w:rsidR="00E7078A">
        <w:t>m</w:t>
      </w:r>
      <w:r w:rsidR="000725DA" w:rsidRPr="000725DA">
        <w:t>ellon, key road infrastructure into Hugh Town,</w:t>
      </w:r>
      <w:r w:rsidR="000725DA">
        <w:t xml:space="preserve"> Porthmellon Industrial Estate,</w:t>
      </w:r>
      <w:r w:rsidR="000725DA" w:rsidRPr="000725DA">
        <w:t xml:space="preserve"> the only business park on the Isles of Scilly, and the islands’ waste management and recycling site at Porth</w:t>
      </w:r>
      <w:r w:rsidR="000725DA">
        <w:t>m</w:t>
      </w:r>
      <w:r w:rsidR="000725DA" w:rsidRPr="000725DA">
        <w:t>ellon.</w:t>
      </w:r>
      <w:r>
        <w:t xml:space="preserve"> </w:t>
      </w:r>
    </w:p>
    <w:p w14:paraId="1D0EE24A" w14:textId="77777777" w:rsidR="000725DA" w:rsidRDefault="000725DA" w:rsidP="000725DA">
      <w:pPr>
        <w:pStyle w:val="Committeetemplate"/>
        <w:numPr>
          <w:ilvl w:val="0"/>
          <w:numId w:val="0"/>
        </w:numPr>
        <w:spacing w:line="276" w:lineRule="auto"/>
        <w:ind w:left="567"/>
      </w:pPr>
    </w:p>
    <w:p w14:paraId="07317187" w14:textId="7BB2CAA7" w:rsidR="009076A0" w:rsidRDefault="00882413" w:rsidP="009076A0">
      <w:pPr>
        <w:pStyle w:val="Committeetemplate"/>
        <w:spacing w:line="276" w:lineRule="auto"/>
        <w:ind w:left="567" w:hanging="567"/>
      </w:pPr>
      <w:r>
        <w:t>At Porthmellon</w:t>
      </w:r>
      <w:r w:rsidR="00E60399">
        <w:t xml:space="preserve"> </w:t>
      </w:r>
      <w:r>
        <w:t xml:space="preserve">this includes a new flood defence to reduce erosion of the earth bank in the southern corner of </w:t>
      </w:r>
      <w:r w:rsidR="009076A0">
        <w:t>Porthmellon beach</w:t>
      </w:r>
      <w:r>
        <w:t>, which protects several houses and businesses as well as the general Telegraph Road area from flooding and erosion during storms. The bank also protects the freshwater supply within the Lower Moors SSSI.</w:t>
      </w:r>
    </w:p>
    <w:p w14:paraId="4C038D82" w14:textId="77777777" w:rsidR="009076A0" w:rsidRDefault="009076A0" w:rsidP="009076A0">
      <w:pPr>
        <w:pStyle w:val="Committeetemplate"/>
        <w:numPr>
          <w:ilvl w:val="0"/>
          <w:numId w:val="0"/>
        </w:numPr>
        <w:spacing w:line="276" w:lineRule="auto"/>
        <w:ind w:left="567"/>
      </w:pPr>
    </w:p>
    <w:p w14:paraId="49A6B5B5" w14:textId="20BB7077" w:rsidR="00E60399" w:rsidRDefault="000725DA" w:rsidP="009076A0">
      <w:pPr>
        <w:pStyle w:val="Committeetemplate"/>
        <w:spacing w:line="276" w:lineRule="auto"/>
        <w:ind w:left="567" w:hanging="567"/>
      </w:pPr>
      <w:r>
        <w:t>T</w:t>
      </w:r>
      <w:r w:rsidR="00E60399">
        <w:t xml:space="preserve">he </w:t>
      </w:r>
      <w:r>
        <w:t>Environmental</w:t>
      </w:r>
      <w:r w:rsidR="00E60399">
        <w:t xml:space="preserve"> Statement describes the proposed development as being required </w:t>
      </w:r>
      <w:r w:rsidRPr="000725DA">
        <w:t>to formalise and strengthen the existing defence in the south-western corner of Porth</w:t>
      </w:r>
      <w:r>
        <w:t>m</w:t>
      </w:r>
      <w:r w:rsidRPr="000725DA">
        <w:t xml:space="preserve">ellon </w:t>
      </w:r>
      <w:r w:rsidR="009076A0">
        <w:t>beach</w:t>
      </w:r>
      <w:r w:rsidRPr="000725DA">
        <w:t>. The existing vegetated bank has experienced wave undercutting, leading to a breach that caused flooding of the adjacent slipway and Telegraph Road. Breaching or overtopping of the defence could affect a range of strategically important assets including adjacent residential and commercial properties, including the island’s waste and recycling facility, Telegraph Road, which is the principal highway connecting the area to Hugh Town and the rest of St Mary’s, and could also result in saline intrusion into the Lower Moors SSSI to the south east, which is a major source of freshwater for the island.</w:t>
      </w:r>
    </w:p>
    <w:p w14:paraId="74B9CD30" w14:textId="77777777" w:rsidR="000725DA" w:rsidRDefault="000725DA" w:rsidP="009076A0">
      <w:pPr>
        <w:pStyle w:val="Committeetemplate"/>
        <w:numPr>
          <w:ilvl w:val="0"/>
          <w:numId w:val="0"/>
        </w:numPr>
        <w:ind w:left="567"/>
      </w:pPr>
    </w:p>
    <w:p w14:paraId="5B017786" w14:textId="76220074" w:rsidR="00B730FC" w:rsidRDefault="009076A0" w:rsidP="001D6F0B">
      <w:pPr>
        <w:pStyle w:val="Committeetemplate"/>
        <w:spacing w:line="276" w:lineRule="auto"/>
        <w:ind w:left="567" w:hanging="567"/>
      </w:pPr>
      <w:r>
        <w:t xml:space="preserve">Porthmellon is located on the </w:t>
      </w:r>
      <w:r w:rsidR="00B730FC">
        <w:t xml:space="preserve">north </w:t>
      </w:r>
      <w:r>
        <w:t xml:space="preserve">east side of Hugh Town, </w:t>
      </w:r>
      <w:r w:rsidR="00E7078A">
        <w:t xml:space="preserve">on St Mary’s </w:t>
      </w:r>
      <w:r>
        <w:t>and has a north west facing beach</w:t>
      </w:r>
      <w:r w:rsidR="00B730FC">
        <w:t xml:space="preserve"> that faces onto St Mary’s Harbour. </w:t>
      </w:r>
      <w:r w:rsidR="00B730FC" w:rsidRPr="00B730FC">
        <w:t>The bay consists of a sand and pebble beach backed by a narrow strip of sand dunes along most of its length</w:t>
      </w:r>
      <w:r w:rsidR="00E7078A">
        <w:t>. I</w:t>
      </w:r>
      <w:r w:rsidR="00B730FC" w:rsidRPr="00B730FC">
        <w:t>n the southern corner of the bay, these dunes are absent, and the back of the beach is a high earth bank covered by a variety of exotic plant species.</w:t>
      </w:r>
      <w:r w:rsidR="00B730FC">
        <w:t xml:space="preserve"> </w:t>
      </w:r>
      <w:r w:rsidR="00B730FC" w:rsidRPr="00B730FC">
        <w:t>Behind the dunes and earth bank are several houses and commercial buildings and a small concrete slipway, that provides access to the beach for boats and other vehicles. Telegraph Road, which links Porth</w:t>
      </w:r>
      <w:r w:rsidR="00B730FC">
        <w:t>m</w:t>
      </w:r>
      <w:r w:rsidR="00B730FC" w:rsidRPr="00B730FC">
        <w:t>ellon to Hugh Town and the wider island, is located immediately behind the dunes and</w:t>
      </w:r>
      <w:r w:rsidR="00B730FC">
        <w:t xml:space="preserve"> </w:t>
      </w:r>
      <w:r w:rsidR="00B730FC" w:rsidRPr="00B730FC">
        <w:t xml:space="preserve">vegetated bank, and landward of this </w:t>
      </w:r>
      <w:r w:rsidR="00E7078A">
        <w:t>is</w:t>
      </w:r>
      <w:r w:rsidR="00B730FC" w:rsidRPr="00B730FC">
        <w:t xml:space="preserve"> Porthmellon Industrial Estate and the islands’ only waste and recycling centre. A short distance inland from the beach is Lower Moors S</w:t>
      </w:r>
      <w:r w:rsidR="00E7078A">
        <w:t>SSI</w:t>
      </w:r>
      <w:r w:rsidR="00B730FC" w:rsidRPr="00B730FC">
        <w:t>, which is an important freshwater habitat for a range of plants and animals and provides freshwater for the island. Porth</w:t>
      </w:r>
      <w:r w:rsidR="00E7078A">
        <w:t>m</w:t>
      </w:r>
      <w:r w:rsidR="00B730FC" w:rsidRPr="00B730FC">
        <w:t xml:space="preserve">ellon beach is popular with both locals and tourists, especially so during the period from May </w:t>
      </w:r>
      <w:r w:rsidR="00B730FC" w:rsidRPr="00B730FC">
        <w:lastRenderedPageBreak/>
        <w:t>to September as the centre for water sports and associated activities</w:t>
      </w:r>
      <w:r w:rsidR="00E7078A">
        <w:t xml:space="preserve"> and the St Mary’s Gig Club sheds, as well as the Beach restaurant, are located at Porthmellon</w:t>
      </w:r>
      <w:r w:rsidR="00B730FC" w:rsidRPr="00B730FC">
        <w:t>.</w:t>
      </w:r>
    </w:p>
    <w:p w14:paraId="7A96B7FC" w14:textId="77777777" w:rsidR="00B730FC" w:rsidRDefault="00B730FC" w:rsidP="00B730FC">
      <w:pPr>
        <w:pStyle w:val="Committeetemplate"/>
        <w:numPr>
          <w:ilvl w:val="0"/>
          <w:numId w:val="0"/>
        </w:numPr>
        <w:spacing w:line="276" w:lineRule="auto"/>
        <w:ind w:left="567"/>
      </w:pPr>
    </w:p>
    <w:p w14:paraId="1B95B3A1" w14:textId="2A723CA4" w:rsidR="00E60399" w:rsidRDefault="000725DA" w:rsidP="001D6F0B">
      <w:pPr>
        <w:pStyle w:val="Committeetemplate"/>
        <w:spacing w:line="276" w:lineRule="auto"/>
        <w:ind w:left="567" w:hanging="567"/>
      </w:pPr>
      <w:r>
        <w:t>The proposed development contained within the application comprises:</w:t>
      </w:r>
    </w:p>
    <w:p w14:paraId="1F9B7EB8" w14:textId="77777777" w:rsidR="00F613C1" w:rsidRDefault="000725DA" w:rsidP="000725DA">
      <w:pPr>
        <w:pStyle w:val="Committeetemplate"/>
        <w:numPr>
          <w:ilvl w:val="1"/>
          <w:numId w:val="21"/>
        </w:numPr>
        <w:spacing w:line="276" w:lineRule="auto"/>
      </w:pPr>
      <w:r>
        <w:t>The</w:t>
      </w:r>
      <w:r w:rsidR="00F613C1">
        <w:t xml:space="preserve"> repair to the existing retaining wall, at the north end of the beach;</w:t>
      </w:r>
    </w:p>
    <w:p w14:paraId="51B58A57" w14:textId="77777777" w:rsidR="00F613C1" w:rsidRDefault="00F613C1" w:rsidP="000725DA">
      <w:pPr>
        <w:pStyle w:val="Committeetemplate"/>
        <w:numPr>
          <w:ilvl w:val="1"/>
          <w:numId w:val="21"/>
        </w:numPr>
        <w:spacing w:line="276" w:lineRule="auto"/>
      </w:pPr>
      <w:r>
        <w:t>Installation of a boardwalk to formalise a path across the dune;</w:t>
      </w:r>
    </w:p>
    <w:p w14:paraId="760A498A" w14:textId="5BE655C3" w:rsidR="000725DA" w:rsidRDefault="00F613C1" w:rsidP="000725DA">
      <w:pPr>
        <w:pStyle w:val="Committeetemplate"/>
        <w:numPr>
          <w:ilvl w:val="1"/>
          <w:numId w:val="21"/>
        </w:numPr>
        <w:spacing w:line="276" w:lineRule="auto"/>
      </w:pPr>
      <w:r>
        <w:t>C</w:t>
      </w:r>
      <w:r w:rsidR="000725DA">
        <w:t xml:space="preserve">onstruction of </w:t>
      </w:r>
      <w:r w:rsidR="00943B20">
        <w:t>a 40m long rock armour revetment (6m height half of which will be below existing beach levels) to the south west corner of the bay. This is designed to reduce erosion to reduce the risk of over-topping.</w:t>
      </w:r>
    </w:p>
    <w:p w14:paraId="7C0B429A" w14:textId="6FBA7ADA" w:rsidR="00943B20" w:rsidRDefault="00943B20" w:rsidP="000725DA">
      <w:pPr>
        <w:pStyle w:val="Committeetemplate"/>
        <w:numPr>
          <w:ilvl w:val="1"/>
          <w:numId w:val="21"/>
        </w:numPr>
        <w:spacing w:line="276" w:lineRule="auto"/>
      </w:pPr>
      <w:r>
        <w:t>The rock armour is proposed to tie into the existing vegetated bank along Telegraph Road. It will overlay a geotextile membrane and comprise a mix of 1-3 tonne blocks of Cornish granite.</w:t>
      </w:r>
    </w:p>
    <w:p w14:paraId="6007E7E4" w14:textId="159B6A78" w:rsidR="00943B20" w:rsidRPr="008C3B45" w:rsidRDefault="00943B20" w:rsidP="000725DA">
      <w:pPr>
        <w:pStyle w:val="Committeetemplate"/>
        <w:numPr>
          <w:ilvl w:val="1"/>
          <w:numId w:val="21"/>
        </w:numPr>
        <w:spacing w:line="276" w:lineRule="auto"/>
      </w:pPr>
      <w:r>
        <w:t>Blocking up on the existing cut-through from Telegraph Road, which currently links down to the south corner of Porthmellon beach.</w:t>
      </w:r>
    </w:p>
    <w:p w14:paraId="5918D6EB" w14:textId="77777777" w:rsidR="00E60399" w:rsidRPr="008C3B45" w:rsidRDefault="00E60399" w:rsidP="00E60399">
      <w:pPr>
        <w:pStyle w:val="Committeetemplate"/>
        <w:numPr>
          <w:ilvl w:val="0"/>
          <w:numId w:val="0"/>
        </w:numPr>
        <w:spacing w:line="276" w:lineRule="auto"/>
      </w:pPr>
    </w:p>
    <w:p w14:paraId="28F9CE63" w14:textId="77777777" w:rsidR="00E60399" w:rsidRDefault="00E60399" w:rsidP="00E60399">
      <w:pPr>
        <w:pStyle w:val="Committeetemplate"/>
        <w:ind w:left="567" w:hanging="567"/>
      </w:pPr>
      <w:r>
        <w:t xml:space="preserve">A </w:t>
      </w:r>
      <w:r w:rsidRPr="003077B1">
        <w:rPr>
          <w:b/>
        </w:rPr>
        <w:t>link (1)</w:t>
      </w:r>
      <w:r>
        <w:t xml:space="preserve"> to all the plans and documents submitted with the application.</w:t>
      </w:r>
    </w:p>
    <w:p w14:paraId="126F7DB7" w14:textId="77777777" w:rsidR="00E60399" w:rsidRDefault="00E60399" w:rsidP="00E60399">
      <w:pPr>
        <w:pStyle w:val="Committeetemplate"/>
        <w:numPr>
          <w:ilvl w:val="0"/>
          <w:numId w:val="0"/>
        </w:numPr>
        <w:ind w:left="567"/>
      </w:pPr>
    </w:p>
    <w:p w14:paraId="5A368F79" w14:textId="77777777" w:rsidR="00E60399" w:rsidRPr="008E5CA9" w:rsidRDefault="00E60399" w:rsidP="00E60399">
      <w:pPr>
        <w:pStyle w:val="Committeetemplate"/>
        <w:numPr>
          <w:ilvl w:val="0"/>
          <w:numId w:val="0"/>
        </w:numPr>
        <w:ind w:left="567"/>
      </w:pPr>
      <w:r w:rsidRPr="008E5CA9">
        <w:rPr>
          <w:b/>
          <w:bCs/>
        </w:rPr>
        <w:t xml:space="preserve">Background and Relevant History </w:t>
      </w:r>
    </w:p>
    <w:p w14:paraId="7A2B056C" w14:textId="544793DE" w:rsidR="00E60399" w:rsidRDefault="00757987" w:rsidP="00E60399">
      <w:pPr>
        <w:pStyle w:val="Committeetemplate"/>
        <w:ind w:left="567" w:hanging="567"/>
      </w:pPr>
      <w:r>
        <w:t>There is planning history associated with some of the buildings on Porthmellon Beach, but none relevant to the proposed works.</w:t>
      </w:r>
    </w:p>
    <w:p w14:paraId="5F7BF2B9" w14:textId="77777777" w:rsidR="00E60399" w:rsidRPr="008E5CA9" w:rsidRDefault="00E60399" w:rsidP="00E60399">
      <w:pPr>
        <w:pStyle w:val="Committeetemplate"/>
        <w:numPr>
          <w:ilvl w:val="0"/>
          <w:numId w:val="0"/>
        </w:numPr>
        <w:ind w:left="567"/>
      </w:pPr>
    </w:p>
    <w:p w14:paraId="311B9207" w14:textId="77777777" w:rsidR="00E60399" w:rsidRPr="008E5CA9" w:rsidRDefault="00E60399" w:rsidP="00E60399">
      <w:pPr>
        <w:pStyle w:val="Committeetemplate"/>
        <w:numPr>
          <w:ilvl w:val="0"/>
          <w:numId w:val="0"/>
        </w:numPr>
        <w:ind w:left="567"/>
      </w:pPr>
      <w:r>
        <w:rPr>
          <w:b/>
          <w:bCs/>
        </w:rPr>
        <w:t>Consultations and Representations</w:t>
      </w:r>
    </w:p>
    <w:p w14:paraId="09BDE2D3" w14:textId="3A6EB768" w:rsidR="00E60399" w:rsidRDefault="00E60399" w:rsidP="00E60399">
      <w:pPr>
        <w:pStyle w:val="Committeetemplate"/>
        <w:ind w:left="567" w:hanging="567"/>
      </w:pPr>
      <w:r w:rsidRPr="00AE06EA">
        <w:t>A site notice has been on display in the vicinity of the application site</w:t>
      </w:r>
      <w:r>
        <w:t xml:space="preserve"> and a press notice</w:t>
      </w:r>
      <w:r w:rsidR="0032456E">
        <w:t xml:space="preserve"> published</w:t>
      </w:r>
      <w:r>
        <w:t xml:space="preserve"> in the Cornishman Newspaper</w:t>
      </w:r>
      <w:r w:rsidRPr="00AE06EA">
        <w:t xml:space="preserve"> for a period of </w:t>
      </w:r>
      <w:r>
        <w:t>30</w:t>
      </w:r>
      <w:r w:rsidRPr="00AE06EA">
        <w:t xml:space="preserve"> days</w:t>
      </w:r>
      <w:r>
        <w:t xml:space="preserve"> (05/08/2021-07/09/2021)</w:t>
      </w:r>
      <w:r w:rsidRPr="00AE06EA">
        <w:t xml:space="preserve">.  </w:t>
      </w:r>
      <w:r>
        <w:t xml:space="preserve">The application appeared on the weekly list on </w:t>
      </w:r>
      <w:r w:rsidRPr="00543B87">
        <w:t>2</w:t>
      </w:r>
      <w:r w:rsidRPr="00543B87">
        <w:rPr>
          <w:vertAlign w:val="superscript"/>
        </w:rPr>
        <w:t>nd</w:t>
      </w:r>
      <w:r w:rsidRPr="00543B87">
        <w:t xml:space="preserve"> August 2021</w:t>
      </w:r>
      <w:r>
        <w:t xml:space="preserve">, published online and circulated on social media. Neighbouring properties who share a boundary with the site, or are within 4 metres of it, have been written to directly. The dates of consultation and a summary of any responses are set out below. All representations received on this application can be read in full following the </w:t>
      </w:r>
      <w:r w:rsidRPr="00643D5C">
        <w:rPr>
          <w:b/>
          <w:bCs/>
        </w:rPr>
        <w:t>link (1)</w:t>
      </w:r>
      <w:r>
        <w:t xml:space="preserve"> below. Material planning issues raised will be addressed in the planning assessment below.</w:t>
      </w:r>
    </w:p>
    <w:p w14:paraId="54B368AE" w14:textId="77777777" w:rsidR="00E60399" w:rsidRDefault="00E60399" w:rsidP="00E60399">
      <w:pPr>
        <w:pStyle w:val="Committeetemplate"/>
        <w:numPr>
          <w:ilvl w:val="0"/>
          <w:numId w:val="0"/>
        </w:numPr>
        <w:ind w:left="567"/>
      </w:pPr>
    </w:p>
    <w:tbl>
      <w:tblPr>
        <w:tblStyle w:val="PlainTable1"/>
        <w:tblW w:w="8789" w:type="dxa"/>
        <w:tblInd w:w="562" w:type="dxa"/>
        <w:tblLook w:val="04A0" w:firstRow="1" w:lastRow="0" w:firstColumn="1" w:lastColumn="0" w:noHBand="0" w:noVBand="1"/>
      </w:tblPr>
      <w:tblGrid>
        <w:gridCol w:w="2915"/>
        <w:gridCol w:w="1217"/>
        <w:gridCol w:w="1245"/>
        <w:gridCol w:w="1197"/>
        <w:gridCol w:w="2215"/>
      </w:tblGrid>
      <w:tr w:rsidR="00E60399" w:rsidRPr="00470F03" w14:paraId="530EDCDF" w14:textId="77777777" w:rsidTr="00E707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5" w:type="dxa"/>
          </w:tcPr>
          <w:p w14:paraId="01C3C59D" w14:textId="77777777" w:rsidR="00E60399" w:rsidRPr="00470F03" w:rsidRDefault="00E60399" w:rsidP="009076A0">
            <w:pPr>
              <w:pStyle w:val="Committeetemplate"/>
              <w:numPr>
                <w:ilvl w:val="0"/>
                <w:numId w:val="0"/>
              </w:numPr>
              <w:spacing w:line="276" w:lineRule="auto"/>
              <w:ind w:left="57" w:hanging="57"/>
              <w:rPr>
                <w:bCs w:val="0"/>
                <w:spacing w:val="-20"/>
                <w:sz w:val="18"/>
                <w:szCs w:val="20"/>
              </w:rPr>
            </w:pPr>
            <w:r w:rsidRPr="00470F03">
              <w:rPr>
                <w:bCs w:val="0"/>
                <w:spacing w:val="-20"/>
                <w:sz w:val="18"/>
                <w:szCs w:val="20"/>
              </w:rPr>
              <w:t>Neighbour</w:t>
            </w:r>
          </w:p>
        </w:tc>
        <w:tc>
          <w:tcPr>
            <w:tcW w:w="1217" w:type="dxa"/>
          </w:tcPr>
          <w:p w14:paraId="4E80C8D0" w14:textId="77777777" w:rsidR="00E60399" w:rsidRPr="00470F03" w:rsidRDefault="00E60399" w:rsidP="009076A0">
            <w:pPr>
              <w:pStyle w:val="Committeetemplate"/>
              <w:numPr>
                <w:ilvl w:val="0"/>
                <w:numId w:val="0"/>
              </w:numPr>
              <w:spacing w:line="276" w:lineRule="auto"/>
              <w:cnfStyle w:val="100000000000" w:firstRow="1" w:lastRow="0" w:firstColumn="0" w:lastColumn="0" w:oddVBand="0" w:evenVBand="0" w:oddHBand="0" w:evenHBand="0" w:firstRowFirstColumn="0" w:firstRowLastColumn="0" w:lastRowFirstColumn="0" w:lastRowLastColumn="0"/>
              <w:rPr>
                <w:sz w:val="18"/>
                <w:szCs w:val="20"/>
                <w:lang w:eastAsia="en-GB"/>
              </w:rPr>
            </w:pPr>
            <w:r w:rsidRPr="00470F03">
              <w:rPr>
                <w:sz w:val="18"/>
                <w:szCs w:val="20"/>
                <w:lang w:eastAsia="en-GB"/>
              </w:rPr>
              <w:t>Date Consulted</w:t>
            </w:r>
          </w:p>
        </w:tc>
        <w:tc>
          <w:tcPr>
            <w:tcW w:w="1245" w:type="dxa"/>
          </w:tcPr>
          <w:p w14:paraId="3DA4B6EC" w14:textId="77777777" w:rsidR="00E60399" w:rsidRPr="00470F03" w:rsidRDefault="00E60399" w:rsidP="009076A0">
            <w:pPr>
              <w:pStyle w:val="Committeetemplate"/>
              <w:numPr>
                <w:ilvl w:val="0"/>
                <w:numId w:val="0"/>
              </w:numPr>
              <w:spacing w:line="276" w:lineRule="auto"/>
              <w:cnfStyle w:val="100000000000" w:firstRow="1" w:lastRow="0" w:firstColumn="0" w:lastColumn="0" w:oddVBand="0" w:evenVBand="0" w:oddHBand="0" w:evenHBand="0" w:firstRowFirstColumn="0" w:firstRowLastColumn="0" w:lastRowFirstColumn="0" w:lastRowLastColumn="0"/>
              <w:rPr>
                <w:sz w:val="18"/>
                <w:szCs w:val="20"/>
                <w:lang w:eastAsia="en-GB"/>
              </w:rPr>
            </w:pPr>
            <w:r w:rsidRPr="00470F03">
              <w:rPr>
                <w:sz w:val="18"/>
                <w:szCs w:val="20"/>
                <w:lang w:eastAsia="en-GB"/>
              </w:rPr>
              <w:t>Comments Due</w:t>
            </w:r>
          </w:p>
        </w:tc>
        <w:tc>
          <w:tcPr>
            <w:tcW w:w="1197" w:type="dxa"/>
          </w:tcPr>
          <w:p w14:paraId="730A40AA" w14:textId="77777777" w:rsidR="00E60399" w:rsidRPr="00470F03" w:rsidRDefault="00E60399" w:rsidP="009076A0">
            <w:pPr>
              <w:pStyle w:val="Committeetemplate"/>
              <w:numPr>
                <w:ilvl w:val="0"/>
                <w:numId w:val="0"/>
              </w:numPr>
              <w:spacing w:line="276" w:lineRule="auto"/>
              <w:cnfStyle w:val="100000000000" w:firstRow="1" w:lastRow="0" w:firstColumn="0" w:lastColumn="0" w:oddVBand="0" w:evenVBand="0" w:oddHBand="0" w:evenHBand="0" w:firstRowFirstColumn="0" w:firstRowLastColumn="0" w:lastRowFirstColumn="0" w:lastRowLastColumn="0"/>
              <w:rPr>
                <w:bCs w:val="0"/>
                <w:sz w:val="18"/>
                <w:szCs w:val="20"/>
                <w:lang w:eastAsia="en-GB"/>
              </w:rPr>
            </w:pPr>
            <w:r w:rsidRPr="00470F03">
              <w:rPr>
                <w:bCs w:val="0"/>
                <w:sz w:val="18"/>
                <w:szCs w:val="20"/>
                <w:lang w:eastAsia="en-GB"/>
              </w:rPr>
              <w:t>Date Responded</w:t>
            </w:r>
          </w:p>
        </w:tc>
        <w:tc>
          <w:tcPr>
            <w:tcW w:w="2215" w:type="dxa"/>
          </w:tcPr>
          <w:p w14:paraId="6B5FBE27" w14:textId="77777777" w:rsidR="00E60399" w:rsidRPr="00470F03" w:rsidRDefault="00E60399" w:rsidP="009076A0">
            <w:pPr>
              <w:pStyle w:val="Committeetemplate"/>
              <w:numPr>
                <w:ilvl w:val="0"/>
                <w:numId w:val="0"/>
              </w:numPr>
              <w:spacing w:line="276" w:lineRule="auto"/>
              <w:cnfStyle w:val="100000000000" w:firstRow="1" w:lastRow="0" w:firstColumn="0" w:lastColumn="0" w:oddVBand="0" w:evenVBand="0" w:oddHBand="0" w:evenHBand="0" w:firstRowFirstColumn="0" w:firstRowLastColumn="0" w:lastRowFirstColumn="0" w:lastRowLastColumn="0"/>
              <w:rPr>
                <w:bCs w:val="0"/>
                <w:sz w:val="18"/>
                <w:szCs w:val="20"/>
                <w:lang w:eastAsia="en-GB"/>
              </w:rPr>
            </w:pPr>
            <w:r w:rsidRPr="00470F03">
              <w:rPr>
                <w:bCs w:val="0"/>
                <w:sz w:val="18"/>
                <w:szCs w:val="20"/>
                <w:lang w:eastAsia="en-GB"/>
              </w:rPr>
              <w:t>Comments</w:t>
            </w:r>
          </w:p>
        </w:tc>
      </w:tr>
      <w:tr w:rsidR="00E60399" w:rsidRPr="00470F03" w14:paraId="49B48F7D" w14:textId="77777777" w:rsidTr="00E70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5" w:type="dxa"/>
          </w:tcPr>
          <w:p w14:paraId="7C3C36D7" w14:textId="0E6C5071" w:rsidR="00E60399" w:rsidRPr="00470F03" w:rsidRDefault="00391857" w:rsidP="009076A0">
            <w:pPr>
              <w:pStyle w:val="Committeetemplate"/>
              <w:numPr>
                <w:ilvl w:val="0"/>
                <w:numId w:val="0"/>
              </w:numPr>
              <w:spacing w:line="276" w:lineRule="auto"/>
              <w:rPr>
                <w:b w:val="0"/>
                <w:spacing w:val="-20"/>
                <w:sz w:val="18"/>
                <w:szCs w:val="20"/>
              </w:rPr>
            </w:pPr>
            <w:r>
              <w:rPr>
                <w:b w:val="0"/>
                <w:spacing w:val="-20"/>
                <w:sz w:val="18"/>
                <w:szCs w:val="20"/>
              </w:rPr>
              <w:t>Camberdown, Porthloo</w:t>
            </w:r>
          </w:p>
        </w:tc>
        <w:tc>
          <w:tcPr>
            <w:tcW w:w="1217" w:type="dxa"/>
          </w:tcPr>
          <w:p w14:paraId="2D10E286" w14:textId="77777777" w:rsidR="00E60399" w:rsidRPr="00470F03" w:rsidRDefault="00E60399" w:rsidP="009076A0">
            <w:pPr>
              <w:pStyle w:val="Committeetemplate"/>
              <w:numPr>
                <w:ilvl w:val="0"/>
                <w:numId w:val="0"/>
              </w:numPr>
              <w:spacing w:line="276" w:lineRule="auto"/>
              <w:ind w:left="57" w:hanging="57"/>
              <w:cnfStyle w:val="000000100000" w:firstRow="0" w:lastRow="0" w:firstColumn="0" w:lastColumn="0" w:oddVBand="0" w:evenVBand="0" w:oddHBand="1" w:evenHBand="0" w:firstRowFirstColumn="0" w:firstRowLastColumn="0" w:lastRowFirstColumn="0" w:lastRowLastColumn="0"/>
              <w:rPr>
                <w:sz w:val="18"/>
                <w:szCs w:val="20"/>
              </w:rPr>
            </w:pPr>
            <w:r w:rsidRPr="00470F03">
              <w:rPr>
                <w:sz w:val="18"/>
                <w:szCs w:val="20"/>
              </w:rPr>
              <w:t>13/08/20021</w:t>
            </w:r>
          </w:p>
        </w:tc>
        <w:tc>
          <w:tcPr>
            <w:tcW w:w="1245" w:type="dxa"/>
          </w:tcPr>
          <w:p w14:paraId="7BCEF170" w14:textId="77777777" w:rsidR="00E60399" w:rsidRPr="00470F03" w:rsidRDefault="00E60399" w:rsidP="009076A0">
            <w:pPr>
              <w:pStyle w:val="Committeetemplate"/>
              <w:numPr>
                <w:ilvl w:val="0"/>
                <w:numId w:val="0"/>
              </w:numPr>
              <w:spacing w:line="276" w:lineRule="auto"/>
              <w:ind w:left="57" w:hanging="57"/>
              <w:cnfStyle w:val="000000100000" w:firstRow="0" w:lastRow="0" w:firstColumn="0" w:lastColumn="0" w:oddVBand="0" w:evenVBand="0" w:oddHBand="1" w:evenHBand="0" w:firstRowFirstColumn="0" w:firstRowLastColumn="0" w:lastRowFirstColumn="0" w:lastRowLastColumn="0"/>
              <w:rPr>
                <w:sz w:val="18"/>
                <w:szCs w:val="20"/>
              </w:rPr>
            </w:pPr>
            <w:r w:rsidRPr="00470F03">
              <w:rPr>
                <w:sz w:val="18"/>
                <w:szCs w:val="20"/>
              </w:rPr>
              <w:t>12/09/2021</w:t>
            </w:r>
          </w:p>
        </w:tc>
        <w:tc>
          <w:tcPr>
            <w:tcW w:w="1197" w:type="dxa"/>
          </w:tcPr>
          <w:p w14:paraId="4D114FD2" w14:textId="77777777" w:rsidR="00E60399" w:rsidRPr="00470F03" w:rsidRDefault="00E60399" w:rsidP="009076A0">
            <w:pPr>
              <w:pStyle w:val="Committeetemplate"/>
              <w:numPr>
                <w:ilvl w:val="0"/>
                <w:numId w:val="0"/>
              </w:numPr>
              <w:spacing w:line="276" w:lineRule="auto"/>
              <w:ind w:left="57" w:hanging="57"/>
              <w:cnfStyle w:val="000000100000" w:firstRow="0" w:lastRow="0" w:firstColumn="0" w:lastColumn="0" w:oddVBand="0" w:evenVBand="0" w:oddHBand="1" w:evenHBand="0" w:firstRowFirstColumn="0" w:firstRowLastColumn="0" w:lastRowFirstColumn="0" w:lastRowLastColumn="0"/>
              <w:rPr>
                <w:sz w:val="18"/>
                <w:szCs w:val="20"/>
              </w:rPr>
            </w:pPr>
            <w:r>
              <w:rPr>
                <w:sz w:val="18"/>
                <w:szCs w:val="20"/>
              </w:rPr>
              <w:t>-</w:t>
            </w:r>
          </w:p>
        </w:tc>
        <w:tc>
          <w:tcPr>
            <w:tcW w:w="2215" w:type="dxa"/>
          </w:tcPr>
          <w:p w14:paraId="2C300820" w14:textId="77777777" w:rsidR="00E60399" w:rsidRPr="00470F03" w:rsidRDefault="00E60399" w:rsidP="009076A0">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20"/>
              </w:rPr>
            </w:pPr>
            <w:r>
              <w:rPr>
                <w:sz w:val="18"/>
                <w:szCs w:val="20"/>
              </w:rPr>
              <w:t>-</w:t>
            </w:r>
          </w:p>
        </w:tc>
      </w:tr>
      <w:tr w:rsidR="00E60399" w:rsidRPr="00470F03" w14:paraId="61209940" w14:textId="77777777" w:rsidTr="00E7078A">
        <w:tc>
          <w:tcPr>
            <w:cnfStyle w:val="001000000000" w:firstRow="0" w:lastRow="0" w:firstColumn="1" w:lastColumn="0" w:oddVBand="0" w:evenVBand="0" w:oddHBand="0" w:evenHBand="0" w:firstRowFirstColumn="0" w:firstRowLastColumn="0" w:lastRowFirstColumn="0" w:lastRowLastColumn="0"/>
            <w:tcW w:w="2915" w:type="dxa"/>
          </w:tcPr>
          <w:p w14:paraId="2EF17C69" w14:textId="23B2E4BA" w:rsidR="00E60399" w:rsidRPr="00470F03" w:rsidRDefault="00391857" w:rsidP="009076A0">
            <w:pPr>
              <w:pStyle w:val="Committeetemplate"/>
              <w:numPr>
                <w:ilvl w:val="0"/>
                <w:numId w:val="0"/>
              </w:numPr>
              <w:spacing w:line="276" w:lineRule="auto"/>
              <w:rPr>
                <w:b w:val="0"/>
                <w:spacing w:val="-20"/>
                <w:sz w:val="18"/>
                <w:szCs w:val="20"/>
              </w:rPr>
            </w:pPr>
            <w:r>
              <w:rPr>
                <w:b w:val="0"/>
                <w:spacing w:val="-20"/>
                <w:sz w:val="18"/>
                <w:szCs w:val="20"/>
              </w:rPr>
              <w:t>Penventon, Buzza Road,</w:t>
            </w:r>
          </w:p>
        </w:tc>
        <w:tc>
          <w:tcPr>
            <w:tcW w:w="1217" w:type="dxa"/>
          </w:tcPr>
          <w:p w14:paraId="013EA55C" w14:textId="77777777" w:rsidR="00E60399" w:rsidRPr="00470F03" w:rsidRDefault="00E60399" w:rsidP="009076A0">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470F03">
              <w:rPr>
                <w:sz w:val="18"/>
                <w:szCs w:val="20"/>
              </w:rPr>
              <w:t>13/08/20021</w:t>
            </w:r>
          </w:p>
        </w:tc>
        <w:tc>
          <w:tcPr>
            <w:tcW w:w="1245" w:type="dxa"/>
          </w:tcPr>
          <w:p w14:paraId="5B5A6C66" w14:textId="77777777" w:rsidR="00E60399" w:rsidRPr="00470F03" w:rsidRDefault="00E60399" w:rsidP="009076A0">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470F03">
              <w:rPr>
                <w:sz w:val="18"/>
                <w:szCs w:val="20"/>
              </w:rPr>
              <w:t>12/09/2021</w:t>
            </w:r>
          </w:p>
        </w:tc>
        <w:tc>
          <w:tcPr>
            <w:tcW w:w="1197" w:type="dxa"/>
          </w:tcPr>
          <w:p w14:paraId="36FD64D1" w14:textId="77777777" w:rsidR="00E60399" w:rsidRPr="00470F03" w:rsidRDefault="00E60399" w:rsidP="009076A0">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w:t>
            </w:r>
          </w:p>
        </w:tc>
        <w:tc>
          <w:tcPr>
            <w:tcW w:w="2215" w:type="dxa"/>
          </w:tcPr>
          <w:p w14:paraId="32116A1D" w14:textId="77777777" w:rsidR="00E60399" w:rsidRPr="00470F03" w:rsidRDefault="00E60399" w:rsidP="009076A0">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w:t>
            </w:r>
          </w:p>
        </w:tc>
      </w:tr>
      <w:tr w:rsidR="00E60399" w:rsidRPr="00470F03" w14:paraId="651AEDB5" w14:textId="77777777" w:rsidTr="00E70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5" w:type="dxa"/>
          </w:tcPr>
          <w:p w14:paraId="3AA4075D" w14:textId="0707AF3E" w:rsidR="00E60399" w:rsidRPr="00470F03" w:rsidRDefault="00391857" w:rsidP="009076A0">
            <w:pPr>
              <w:pStyle w:val="Committeetemplate"/>
              <w:numPr>
                <w:ilvl w:val="0"/>
                <w:numId w:val="0"/>
              </w:numPr>
              <w:spacing w:line="276" w:lineRule="auto"/>
              <w:rPr>
                <w:b w:val="0"/>
                <w:spacing w:val="-20"/>
                <w:sz w:val="18"/>
                <w:szCs w:val="20"/>
              </w:rPr>
            </w:pPr>
            <w:r>
              <w:rPr>
                <w:b w:val="0"/>
                <w:spacing w:val="-20"/>
                <w:sz w:val="18"/>
                <w:szCs w:val="20"/>
              </w:rPr>
              <w:t>Gunner Rock, 7 Jacksons Hill</w:t>
            </w:r>
          </w:p>
        </w:tc>
        <w:tc>
          <w:tcPr>
            <w:tcW w:w="1217" w:type="dxa"/>
          </w:tcPr>
          <w:p w14:paraId="41BB4FD4" w14:textId="77777777" w:rsidR="00E60399" w:rsidRPr="00470F03" w:rsidRDefault="00E60399" w:rsidP="009076A0">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20"/>
              </w:rPr>
            </w:pPr>
            <w:r w:rsidRPr="00470F03">
              <w:rPr>
                <w:sz w:val="18"/>
                <w:szCs w:val="20"/>
              </w:rPr>
              <w:t>13/08/20021</w:t>
            </w:r>
          </w:p>
        </w:tc>
        <w:tc>
          <w:tcPr>
            <w:tcW w:w="1245" w:type="dxa"/>
          </w:tcPr>
          <w:p w14:paraId="49F25813" w14:textId="77777777" w:rsidR="00E60399" w:rsidRPr="00470F03" w:rsidRDefault="00E60399" w:rsidP="009076A0">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20"/>
              </w:rPr>
            </w:pPr>
            <w:r w:rsidRPr="00470F03">
              <w:rPr>
                <w:sz w:val="18"/>
                <w:szCs w:val="20"/>
              </w:rPr>
              <w:t>12/09/2021</w:t>
            </w:r>
          </w:p>
        </w:tc>
        <w:tc>
          <w:tcPr>
            <w:tcW w:w="1197" w:type="dxa"/>
          </w:tcPr>
          <w:p w14:paraId="7129A57E" w14:textId="77777777" w:rsidR="00E60399" w:rsidRPr="00470F03" w:rsidRDefault="00E60399" w:rsidP="009076A0">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20"/>
              </w:rPr>
            </w:pPr>
            <w:r>
              <w:rPr>
                <w:sz w:val="18"/>
                <w:szCs w:val="20"/>
              </w:rPr>
              <w:t>-</w:t>
            </w:r>
          </w:p>
        </w:tc>
        <w:tc>
          <w:tcPr>
            <w:tcW w:w="2215" w:type="dxa"/>
          </w:tcPr>
          <w:p w14:paraId="65BED5BF" w14:textId="77777777" w:rsidR="00E60399" w:rsidRPr="00470F03" w:rsidRDefault="00E60399" w:rsidP="009076A0">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20"/>
              </w:rPr>
            </w:pPr>
            <w:r>
              <w:rPr>
                <w:sz w:val="18"/>
                <w:szCs w:val="20"/>
              </w:rPr>
              <w:t>-</w:t>
            </w:r>
          </w:p>
        </w:tc>
      </w:tr>
      <w:tr w:rsidR="00E60399" w:rsidRPr="00470F03" w14:paraId="75F6A011" w14:textId="77777777" w:rsidTr="00E7078A">
        <w:tc>
          <w:tcPr>
            <w:cnfStyle w:val="001000000000" w:firstRow="0" w:lastRow="0" w:firstColumn="1" w:lastColumn="0" w:oddVBand="0" w:evenVBand="0" w:oddHBand="0" w:evenHBand="0" w:firstRowFirstColumn="0" w:firstRowLastColumn="0" w:lastRowFirstColumn="0" w:lastRowLastColumn="0"/>
            <w:tcW w:w="2915" w:type="dxa"/>
          </w:tcPr>
          <w:p w14:paraId="551E131E" w14:textId="05248DE4" w:rsidR="00E60399" w:rsidRPr="00470F03" w:rsidRDefault="00391857" w:rsidP="009076A0">
            <w:pPr>
              <w:pStyle w:val="Committeetemplate"/>
              <w:numPr>
                <w:ilvl w:val="0"/>
                <w:numId w:val="0"/>
              </w:numPr>
              <w:spacing w:line="276" w:lineRule="auto"/>
              <w:rPr>
                <w:b w:val="0"/>
                <w:spacing w:val="-20"/>
                <w:sz w:val="18"/>
                <w:szCs w:val="20"/>
              </w:rPr>
            </w:pPr>
            <w:r>
              <w:rPr>
                <w:b w:val="0"/>
                <w:spacing w:val="-20"/>
                <w:sz w:val="18"/>
                <w:szCs w:val="20"/>
              </w:rPr>
              <w:t>Sandy Banks Cottage, Telegraph Road</w:t>
            </w:r>
          </w:p>
        </w:tc>
        <w:tc>
          <w:tcPr>
            <w:tcW w:w="1217" w:type="dxa"/>
          </w:tcPr>
          <w:p w14:paraId="7DD041FB" w14:textId="77777777" w:rsidR="00E60399" w:rsidRPr="00470F03" w:rsidRDefault="00E60399" w:rsidP="009076A0">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470F03">
              <w:rPr>
                <w:sz w:val="18"/>
                <w:szCs w:val="20"/>
              </w:rPr>
              <w:t>13/08/20021</w:t>
            </w:r>
          </w:p>
        </w:tc>
        <w:tc>
          <w:tcPr>
            <w:tcW w:w="1245" w:type="dxa"/>
          </w:tcPr>
          <w:p w14:paraId="39804374" w14:textId="77777777" w:rsidR="00E60399" w:rsidRPr="00470F03" w:rsidRDefault="00E60399" w:rsidP="009076A0">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470F03">
              <w:rPr>
                <w:sz w:val="18"/>
                <w:szCs w:val="20"/>
              </w:rPr>
              <w:t>12/09/2021</w:t>
            </w:r>
          </w:p>
        </w:tc>
        <w:tc>
          <w:tcPr>
            <w:tcW w:w="1197" w:type="dxa"/>
          </w:tcPr>
          <w:p w14:paraId="08A889FE" w14:textId="77777777" w:rsidR="00E60399" w:rsidRPr="00470F03" w:rsidRDefault="00E60399" w:rsidP="009076A0">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w:t>
            </w:r>
          </w:p>
        </w:tc>
        <w:tc>
          <w:tcPr>
            <w:tcW w:w="2215" w:type="dxa"/>
          </w:tcPr>
          <w:p w14:paraId="44C28860" w14:textId="77777777" w:rsidR="00E60399" w:rsidRPr="00470F03" w:rsidRDefault="00E60399" w:rsidP="009076A0">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w:t>
            </w:r>
          </w:p>
        </w:tc>
      </w:tr>
      <w:tr w:rsidR="00E60399" w:rsidRPr="00470F03" w14:paraId="2ECA448B" w14:textId="77777777" w:rsidTr="00E70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5" w:type="dxa"/>
          </w:tcPr>
          <w:p w14:paraId="11679A2C" w14:textId="2F7AE966" w:rsidR="00E60399" w:rsidRPr="00470F03" w:rsidRDefault="00391857" w:rsidP="009076A0">
            <w:pPr>
              <w:pStyle w:val="Committeetemplate"/>
              <w:numPr>
                <w:ilvl w:val="0"/>
                <w:numId w:val="0"/>
              </w:numPr>
              <w:spacing w:line="276" w:lineRule="auto"/>
              <w:rPr>
                <w:b w:val="0"/>
                <w:spacing w:val="-20"/>
                <w:sz w:val="18"/>
                <w:szCs w:val="20"/>
              </w:rPr>
            </w:pPr>
            <w:r>
              <w:rPr>
                <w:b w:val="0"/>
                <w:spacing w:val="-20"/>
                <w:sz w:val="18"/>
                <w:szCs w:val="20"/>
              </w:rPr>
              <w:t>The Store, 21 Porthmellon Industrial Estate</w:t>
            </w:r>
          </w:p>
        </w:tc>
        <w:tc>
          <w:tcPr>
            <w:tcW w:w="1217" w:type="dxa"/>
          </w:tcPr>
          <w:p w14:paraId="4E925656" w14:textId="77777777" w:rsidR="00E60399" w:rsidRPr="00470F03" w:rsidRDefault="00E60399" w:rsidP="009076A0">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20"/>
              </w:rPr>
            </w:pPr>
            <w:r w:rsidRPr="00470F03">
              <w:rPr>
                <w:sz w:val="18"/>
                <w:szCs w:val="20"/>
              </w:rPr>
              <w:t>13/08/20021</w:t>
            </w:r>
          </w:p>
        </w:tc>
        <w:tc>
          <w:tcPr>
            <w:tcW w:w="1245" w:type="dxa"/>
          </w:tcPr>
          <w:p w14:paraId="5F06FE9A" w14:textId="77777777" w:rsidR="00E60399" w:rsidRPr="00470F03" w:rsidRDefault="00E60399" w:rsidP="009076A0">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20"/>
              </w:rPr>
            </w:pPr>
            <w:r w:rsidRPr="00470F03">
              <w:rPr>
                <w:sz w:val="18"/>
                <w:szCs w:val="20"/>
              </w:rPr>
              <w:t>12/09/2021</w:t>
            </w:r>
          </w:p>
        </w:tc>
        <w:tc>
          <w:tcPr>
            <w:tcW w:w="1197" w:type="dxa"/>
          </w:tcPr>
          <w:p w14:paraId="2A624039" w14:textId="77777777" w:rsidR="00E60399" w:rsidRPr="00470F03" w:rsidRDefault="00E60399" w:rsidP="009076A0">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20"/>
              </w:rPr>
            </w:pPr>
            <w:r>
              <w:rPr>
                <w:sz w:val="18"/>
                <w:szCs w:val="20"/>
              </w:rPr>
              <w:t>-</w:t>
            </w:r>
          </w:p>
        </w:tc>
        <w:tc>
          <w:tcPr>
            <w:tcW w:w="2215" w:type="dxa"/>
          </w:tcPr>
          <w:p w14:paraId="1646A23A" w14:textId="77777777" w:rsidR="00E60399" w:rsidRPr="00470F03" w:rsidRDefault="00E60399" w:rsidP="009076A0">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20"/>
              </w:rPr>
            </w:pPr>
            <w:r>
              <w:rPr>
                <w:sz w:val="18"/>
                <w:szCs w:val="20"/>
              </w:rPr>
              <w:t>-</w:t>
            </w:r>
          </w:p>
        </w:tc>
      </w:tr>
      <w:tr w:rsidR="00E60399" w:rsidRPr="00470F03" w14:paraId="159CF06D" w14:textId="77777777" w:rsidTr="00E7078A">
        <w:tc>
          <w:tcPr>
            <w:cnfStyle w:val="001000000000" w:firstRow="0" w:lastRow="0" w:firstColumn="1" w:lastColumn="0" w:oddVBand="0" w:evenVBand="0" w:oddHBand="0" w:evenHBand="0" w:firstRowFirstColumn="0" w:firstRowLastColumn="0" w:lastRowFirstColumn="0" w:lastRowLastColumn="0"/>
            <w:tcW w:w="2915" w:type="dxa"/>
          </w:tcPr>
          <w:p w14:paraId="20B44830" w14:textId="0AF181CB" w:rsidR="00E60399" w:rsidRPr="00470F03" w:rsidRDefault="00391857" w:rsidP="009076A0">
            <w:pPr>
              <w:pStyle w:val="Committeetemplate"/>
              <w:numPr>
                <w:ilvl w:val="0"/>
                <w:numId w:val="0"/>
              </w:numPr>
              <w:spacing w:line="276" w:lineRule="auto"/>
              <w:rPr>
                <w:b w:val="0"/>
                <w:spacing w:val="-20"/>
                <w:sz w:val="18"/>
                <w:szCs w:val="20"/>
              </w:rPr>
            </w:pPr>
            <w:r>
              <w:rPr>
                <w:b w:val="0"/>
                <w:spacing w:val="-20"/>
                <w:sz w:val="18"/>
                <w:szCs w:val="20"/>
              </w:rPr>
              <w:t>Sandy Banks Barn, Cottage, Telegraph Road</w:t>
            </w:r>
          </w:p>
        </w:tc>
        <w:tc>
          <w:tcPr>
            <w:tcW w:w="1217" w:type="dxa"/>
          </w:tcPr>
          <w:p w14:paraId="3F421C0D" w14:textId="77777777" w:rsidR="00E60399" w:rsidRPr="00470F03" w:rsidRDefault="00E60399" w:rsidP="009076A0">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470F03">
              <w:rPr>
                <w:sz w:val="18"/>
                <w:szCs w:val="20"/>
              </w:rPr>
              <w:t>13/08/20021</w:t>
            </w:r>
          </w:p>
        </w:tc>
        <w:tc>
          <w:tcPr>
            <w:tcW w:w="1245" w:type="dxa"/>
          </w:tcPr>
          <w:p w14:paraId="663AE48E" w14:textId="77777777" w:rsidR="00E60399" w:rsidRPr="00470F03" w:rsidRDefault="00E60399" w:rsidP="009076A0">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470F03">
              <w:rPr>
                <w:sz w:val="18"/>
                <w:szCs w:val="20"/>
              </w:rPr>
              <w:t>12/09/2021</w:t>
            </w:r>
          </w:p>
        </w:tc>
        <w:tc>
          <w:tcPr>
            <w:tcW w:w="1197" w:type="dxa"/>
          </w:tcPr>
          <w:p w14:paraId="7C5F0083" w14:textId="77777777" w:rsidR="00E60399" w:rsidRPr="00470F03" w:rsidRDefault="00E60399" w:rsidP="009076A0">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w:t>
            </w:r>
          </w:p>
        </w:tc>
        <w:tc>
          <w:tcPr>
            <w:tcW w:w="2215" w:type="dxa"/>
          </w:tcPr>
          <w:p w14:paraId="63A39521" w14:textId="77777777" w:rsidR="00E60399" w:rsidRPr="00470F03" w:rsidRDefault="00E60399" w:rsidP="009076A0">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w:t>
            </w:r>
          </w:p>
        </w:tc>
      </w:tr>
      <w:tr w:rsidR="00E60399" w:rsidRPr="00470F03" w14:paraId="569A705D" w14:textId="77777777" w:rsidTr="00E70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5" w:type="dxa"/>
          </w:tcPr>
          <w:p w14:paraId="40C04C7B" w14:textId="1E6AF4A5" w:rsidR="00E60399" w:rsidRPr="00470F03" w:rsidRDefault="00391857" w:rsidP="009076A0">
            <w:pPr>
              <w:pStyle w:val="Committeetemplate"/>
              <w:numPr>
                <w:ilvl w:val="0"/>
                <w:numId w:val="0"/>
              </w:numPr>
              <w:spacing w:line="276" w:lineRule="auto"/>
              <w:rPr>
                <w:b w:val="0"/>
                <w:spacing w:val="-20"/>
                <w:sz w:val="18"/>
                <w:szCs w:val="20"/>
              </w:rPr>
            </w:pPr>
            <w:r>
              <w:rPr>
                <w:b w:val="0"/>
                <w:spacing w:val="-20"/>
                <w:sz w:val="18"/>
                <w:szCs w:val="20"/>
              </w:rPr>
              <w:t>Western Maintenance, 26 Porthmellon Industrial Estate</w:t>
            </w:r>
          </w:p>
        </w:tc>
        <w:tc>
          <w:tcPr>
            <w:tcW w:w="1217" w:type="dxa"/>
          </w:tcPr>
          <w:p w14:paraId="2C42DE15" w14:textId="77777777" w:rsidR="00E60399" w:rsidRPr="00470F03" w:rsidRDefault="00E60399" w:rsidP="009076A0">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20"/>
              </w:rPr>
            </w:pPr>
            <w:r w:rsidRPr="00470F03">
              <w:rPr>
                <w:sz w:val="18"/>
                <w:szCs w:val="20"/>
              </w:rPr>
              <w:t>13/08/20021</w:t>
            </w:r>
          </w:p>
        </w:tc>
        <w:tc>
          <w:tcPr>
            <w:tcW w:w="1245" w:type="dxa"/>
          </w:tcPr>
          <w:p w14:paraId="1C4E857A" w14:textId="77777777" w:rsidR="00E60399" w:rsidRPr="00470F03" w:rsidRDefault="00E60399" w:rsidP="009076A0">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20"/>
              </w:rPr>
            </w:pPr>
            <w:r w:rsidRPr="00470F03">
              <w:rPr>
                <w:sz w:val="18"/>
                <w:szCs w:val="20"/>
              </w:rPr>
              <w:t>12/09/2021</w:t>
            </w:r>
          </w:p>
        </w:tc>
        <w:tc>
          <w:tcPr>
            <w:tcW w:w="1197" w:type="dxa"/>
          </w:tcPr>
          <w:p w14:paraId="0B63557E" w14:textId="77777777" w:rsidR="00E60399" w:rsidRPr="00470F03" w:rsidRDefault="00E60399" w:rsidP="009076A0">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20"/>
              </w:rPr>
            </w:pPr>
            <w:r>
              <w:rPr>
                <w:sz w:val="18"/>
                <w:szCs w:val="20"/>
              </w:rPr>
              <w:t>-</w:t>
            </w:r>
          </w:p>
        </w:tc>
        <w:tc>
          <w:tcPr>
            <w:tcW w:w="2215" w:type="dxa"/>
          </w:tcPr>
          <w:p w14:paraId="7CD370C7" w14:textId="77777777" w:rsidR="00E60399" w:rsidRPr="00470F03" w:rsidRDefault="00E60399" w:rsidP="009076A0">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20"/>
              </w:rPr>
            </w:pPr>
            <w:r>
              <w:rPr>
                <w:sz w:val="18"/>
                <w:szCs w:val="20"/>
              </w:rPr>
              <w:t>-</w:t>
            </w:r>
          </w:p>
        </w:tc>
      </w:tr>
      <w:tr w:rsidR="00E60399" w:rsidRPr="00470F03" w14:paraId="1B6DD05D" w14:textId="77777777" w:rsidTr="00E7078A">
        <w:tc>
          <w:tcPr>
            <w:cnfStyle w:val="001000000000" w:firstRow="0" w:lastRow="0" w:firstColumn="1" w:lastColumn="0" w:oddVBand="0" w:evenVBand="0" w:oddHBand="0" w:evenHBand="0" w:firstRowFirstColumn="0" w:firstRowLastColumn="0" w:lastRowFirstColumn="0" w:lastRowLastColumn="0"/>
            <w:tcW w:w="2915" w:type="dxa"/>
          </w:tcPr>
          <w:p w14:paraId="7DD5732D" w14:textId="35806F9D" w:rsidR="00E60399" w:rsidRPr="00470F03" w:rsidRDefault="00391857" w:rsidP="009076A0">
            <w:pPr>
              <w:pStyle w:val="Committeetemplate"/>
              <w:numPr>
                <w:ilvl w:val="0"/>
                <w:numId w:val="0"/>
              </w:numPr>
              <w:spacing w:line="276" w:lineRule="auto"/>
              <w:rPr>
                <w:b w:val="0"/>
                <w:spacing w:val="-20"/>
                <w:sz w:val="18"/>
                <w:szCs w:val="20"/>
              </w:rPr>
            </w:pPr>
            <w:r>
              <w:rPr>
                <w:b w:val="0"/>
                <w:spacing w:val="-20"/>
                <w:sz w:val="18"/>
                <w:szCs w:val="20"/>
              </w:rPr>
              <w:t>Sandy Banks Farm, Telegraph Road</w:t>
            </w:r>
          </w:p>
        </w:tc>
        <w:tc>
          <w:tcPr>
            <w:tcW w:w="1217" w:type="dxa"/>
          </w:tcPr>
          <w:p w14:paraId="00B08BEC" w14:textId="77777777" w:rsidR="00E60399" w:rsidRPr="00470F03" w:rsidRDefault="00E60399" w:rsidP="009076A0">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470F03">
              <w:rPr>
                <w:sz w:val="18"/>
                <w:szCs w:val="20"/>
              </w:rPr>
              <w:t>13/08/20021</w:t>
            </w:r>
          </w:p>
        </w:tc>
        <w:tc>
          <w:tcPr>
            <w:tcW w:w="1245" w:type="dxa"/>
          </w:tcPr>
          <w:p w14:paraId="0FF498E8" w14:textId="77777777" w:rsidR="00E60399" w:rsidRPr="00470F03" w:rsidRDefault="00E60399" w:rsidP="009076A0">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470F03">
              <w:rPr>
                <w:sz w:val="18"/>
                <w:szCs w:val="20"/>
              </w:rPr>
              <w:t>12/09/2021</w:t>
            </w:r>
          </w:p>
        </w:tc>
        <w:tc>
          <w:tcPr>
            <w:tcW w:w="1197" w:type="dxa"/>
          </w:tcPr>
          <w:p w14:paraId="359AAA4A" w14:textId="77777777" w:rsidR="00E60399" w:rsidRPr="00470F03" w:rsidRDefault="00E60399" w:rsidP="009076A0">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w:t>
            </w:r>
          </w:p>
        </w:tc>
        <w:tc>
          <w:tcPr>
            <w:tcW w:w="2215" w:type="dxa"/>
          </w:tcPr>
          <w:p w14:paraId="0983AC18" w14:textId="77777777" w:rsidR="00E60399" w:rsidRPr="00470F03" w:rsidRDefault="00E60399" w:rsidP="009076A0">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w:t>
            </w:r>
          </w:p>
        </w:tc>
      </w:tr>
      <w:tr w:rsidR="00E60399" w:rsidRPr="00470F03" w14:paraId="4E0405F7" w14:textId="77777777" w:rsidTr="00E70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5" w:type="dxa"/>
          </w:tcPr>
          <w:p w14:paraId="5EDF49BD" w14:textId="58AD058E" w:rsidR="00E60399" w:rsidRPr="00470F03" w:rsidRDefault="00391857" w:rsidP="009076A0">
            <w:pPr>
              <w:pStyle w:val="Committeetemplate"/>
              <w:numPr>
                <w:ilvl w:val="0"/>
                <w:numId w:val="0"/>
              </w:numPr>
              <w:spacing w:line="276" w:lineRule="auto"/>
              <w:rPr>
                <w:b w:val="0"/>
                <w:spacing w:val="-20"/>
                <w:sz w:val="18"/>
                <w:szCs w:val="20"/>
              </w:rPr>
            </w:pPr>
            <w:r>
              <w:rPr>
                <w:b w:val="0"/>
                <w:spacing w:val="-20"/>
                <w:sz w:val="18"/>
                <w:szCs w:val="20"/>
              </w:rPr>
              <w:lastRenderedPageBreak/>
              <w:t>6 Bay View Terrace</w:t>
            </w:r>
          </w:p>
        </w:tc>
        <w:tc>
          <w:tcPr>
            <w:tcW w:w="1217" w:type="dxa"/>
          </w:tcPr>
          <w:p w14:paraId="371CBC37" w14:textId="77777777" w:rsidR="00E60399" w:rsidRPr="00470F03" w:rsidRDefault="00E60399" w:rsidP="009076A0">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20"/>
              </w:rPr>
            </w:pPr>
            <w:r w:rsidRPr="00470F03">
              <w:rPr>
                <w:sz w:val="18"/>
                <w:szCs w:val="20"/>
              </w:rPr>
              <w:t>13/08/20021</w:t>
            </w:r>
          </w:p>
        </w:tc>
        <w:tc>
          <w:tcPr>
            <w:tcW w:w="1245" w:type="dxa"/>
          </w:tcPr>
          <w:p w14:paraId="646D5AAD" w14:textId="77777777" w:rsidR="00E60399" w:rsidRPr="00470F03" w:rsidRDefault="00E60399" w:rsidP="009076A0">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20"/>
              </w:rPr>
            </w:pPr>
            <w:r w:rsidRPr="00470F03">
              <w:rPr>
                <w:sz w:val="18"/>
                <w:szCs w:val="20"/>
              </w:rPr>
              <w:t>12/09/2021</w:t>
            </w:r>
          </w:p>
        </w:tc>
        <w:tc>
          <w:tcPr>
            <w:tcW w:w="1197" w:type="dxa"/>
          </w:tcPr>
          <w:p w14:paraId="523C90BD" w14:textId="77777777" w:rsidR="00E60399" w:rsidRPr="00470F03" w:rsidRDefault="00E60399" w:rsidP="009076A0">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20"/>
              </w:rPr>
            </w:pPr>
            <w:r>
              <w:rPr>
                <w:sz w:val="18"/>
                <w:szCs w:val="20"/>
              </w:rPr>
              <w:t>-</w:t>
            </w:r>
          </w:p>
        </w:tc>
        <w:tc>
          <w:tcPr>
            <w:tcW w:w="2215" w:type="dxa"/>
          </w:tcPr>
          <w:p w14:paraId="78898018" w14:textId="77777777" w:rsidR="00E60399" w:rsidRPr="00470F03" w:rsidRDefault="00E60399" w:rsidP="009076A0">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20"/>
              </w:rPr>
            </w:pPr>
            <w:r>
              <w:rPr>
                <w:sz w:val="18"/>
                <w:szCs w:val="20"/>
              </w:rPr>
              <w:t>-</w:t>
            </w:r>
          </w:p>
        </w:tc>
      </w:tr>
      <w:tr w:rsidR="00E60399" w:rsidRPr="00470F03" w14:paraId="0E5FD608" w14:textId="77777777" w:rsidTr="00E7078A">
        <w:tc>
          <w:tcPr>
            <w:cnfStyle w:val="001000000000" w:firstRow="0" w:lastRow="0" w:firstColumn="1" w:lastColumn="0" w:oddVBand="0" w:evenVBand="0" w:oddHBand="0" w:evenHBand="0" w:firstRowFirstColumn="0" w:firstRowLastColumn="0" w:lastRowFirstColumn="0" w:lastRowLastColumn="0"/>
            <w:tcW w:w="2915" w:type="dxa"/>
          </w:tcPr>
          <w:p w14:paraId="0B65A847" w14:textId="6E252866" w:rsidR="00E60399" w:rsidRPr="00470F03" w:rsidRDefault="00391857" w:rsidP="009076A0">
            <w:pPr>
              <w:pStyle w:val="Committeetemplate"/>
              <w:numPr>
                <w:ilvl w:val="0"/>
                <w:numId w:val="0"/>
              </w:numPr>
              <w:spacing w:line="276" w:lineRule="auto"/>
              <w:rPr>
                <w:b w:val="0"/>
                <w:spacing w:val="-20"/>
                <w:sz w:val="18"/>
                <w:szCs w:val="20"/>
              </w:rPr>
            </w:pPr>
            <w:r>
              <w:rPr>
                <w:b w:val="0"/>
                <w:spacing w:val="-20"/>
                <w:sz w:val="18"/>
                <w:szCs w:val="20"/>
              </w:rPr>
              <w:t>5 Bay View Terrace</w:t>
            </w:r>
          </w:p>
        </w:tc>
        <w:tc>
          <w:tcPr>
            <w:tcW w:w="1217" w:type="dxa"/>
          </w:tcPr>
          <w:p w14:paraId="55F57393" w14:textId="77777777" w:rsidR="00E60399" w:rsidRPr="00470F03" w:rsidRDefault="00E60399" w:rsidP="009076A0">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470F03">
              <w:rPr>
                <w:sz w:val="18"/>
                <w:szCs w:val="20"/>
              </w:rPr>
              <w:t>13/08/20021</w:t>
            </w:r>
          </w:p>
        </w:tc>
        <w:tc>
          <w:tcPr>
            <w:tcW w:w="1245" w:type="dxa"/>
          </w:tcPr>
          <w:p w14:paraId="445FA8B1" w14:textId="77777777" w:rsidR="00E60399" w:rsidRPr="00470F03" w:rsidRDefault="00E60399" w:rsidP="009076A0">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470F03">
              <w:rPr>
                <w:sz w:val="18"/>
                <w:szCs w:val="20"/>
              </w:rPr>
              <w:t>12/09/2021</w:t>
            </w:r>
          </w:p>
        </w:tc>
        <w:tc>
          <w:tcPr>
            <w:tcW w:w="1197" w:type="dxa"/>
          </w:tcPr>
          <w:p w14:paraId="24D7636C" w14:textId="77777777" w:rsidR="00E60399" w:rsidRPr="00470F03" w:rsidRDefault="00E60399" w:rsidP="009076A0">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w:t>
            </w:r>
          </w:p>
        </w:tc>
        <w:tc>
          <w:tcPr>
            <w:tcW w:w="2215" w:type="dxa"/>
          </w:tcPr>
          <w:p w14:paraId="760DE6E5" w14:textId="77777777" w:rsidR="00E60399" w:rsidRPr="00470F03" w:rsidRDefault="00E60399" w:rsidP="009076A0">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w:t>
            </w:r>
          </w:p>
        </w:tc>
      </w:tr>
      <w:tr w:rsidR="00E60399" w:rsidRPr="00470F03" w14:paraId="7BD59B9C" w14:textId="77777777" w:rsidTr="00E70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5" w:type="dxa"/>
          </w:tcPr>
          <w:p w14:paraId="0DA2A7AF" w14:textId="2C11CD3E" w:rsidR="00E60399" w:rsidRPr="00470F03" w:rsidRDefault="00391857" w:rsidP="009076A0">
            <w:pPr>
              <w:pStyle w:val="Committeetemplate"/>
              <w:numPr>
                <w:ilvl w:val="0"/>
                <w:numId w:val="0"/>
              </w:numPr>
              <w:spacing w:line="276" w:lineRule="auto"/>
              <w:rPr>
                <w:b w:val="0"/>
                <w:spacing w:val="-20"/>
                <w:sz w:val="18"/>
                <w:szCs w:val="20"/>
              </w:rPr>
            </w:pPr>
            <w:r>
              <w:rPr>
                <w:b w:val="0"/>
                <w:spacing w:val="-20"/>
                <w:sz w:val="18"/>
                <w:szCs w:val="20"/>
              </w:rPr>
              <w:t>4 Bay View Terrace</w:t>
            </w:r>
          </w:p>
        </w:tc>
        <w:tc>
          <w:tcPr>
            <w:tcW w:w="1217" w:type="dxa"/>
          </w:tcPr>
          <w:p w14:paraId="34078F96" w14:textId="77777777" w:rsidR="00E60399" w:rsidRPr="00470F03" w:rsidRDefault="00E60399" w:rsidP="009076A0">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20"/>
              </w:rPr>
            </w:pPr>
            <w:r w:rsidRPr="00470F03">
              <w:rPr>
                <w:sz w:val="18"/>
                <w:szCs w:val="20"/>
              </w:rPr>
              <w:t>13/08/20021</w:t>
            </w:r>
          </w:p>
        </w:tc>
        <w:tc>
          <w:tcPr>
            <w:tcW w:w="1245" w:type="dxa"/>
          </w:tcPr>
          <w:p w14:paraId="211C2B03" w14:textId="77777777" w:rsidR="00E60399" w:rsidRPr="00470F03" w:rsidRDefault="00E60399" w:rsidP="009076A0">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20"/>
              </w:rPr>
            </w:pPr>
            <w:r w:rsidRPr="00470F03">
              <w:rPr>
                <w:sz w:val="18"/>
                <w:szCs w:val="20"/>
              </w:rPr>
              <w:t>12/09/2021</w:t>
            </w:r>
          </w:p>
        </w:tc>
        <w:tc>
          <w:tcPr>
            <w:tcW w:w="1197" w:type="dxa"/>
          </w:tcPr>
          <w:p w14:paraId="50AACA6F" w14:textId="77777777" w:rsidR="00E60399" w:rsidRPr="00470F03" w:rsidRDefault="00E60399" w:rsidP="009076A0">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20"/>
              </w:rPr>
            </w:pPr>
            <w:r>
              <w:rPr>
                <w:sz w:val="18"/>
                <w:szCs w:val="20"/>
              </w:rPr>
              <w:t>-</w:t>
            </w:r>
          </w:p>
        </w:tc>
        <w:tc>
          <w:tcPr>
            <w:tcW w:w="2215" w:type="dxa"/>
          </w:tcPr>
          <w:p w14:paraId="4324F4F1" w14:textId="77777777" w:rsidR="00E60399" w:rsidRPr="00470F03" w:rsidRDefault="00E60399" w:rsidP="009076A0">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20"/>
              </w:rPr>
            </w:pPr>
            <w:r>
              <w:rPr>
                <w:sz w:val="18"/>
                <w:szCs w:val="20"/>
              </w:rPr>
              <w:t>-</w:t>
            </w:r>
          </w:p>
        </w:tc>
      </w:tr>
      <w:tr w:rsidR="00E60399" w:rsidRPr="00470F03" w14:paraId="34C66CB7" w14:textId="77777777" w:rsidTr="00E7078A">
        <w:tc>
          <w:tcPr>
            <w:cnfStyle w:val="001000000000" w:firstRow="0" w:lastRow="0" w:firstColumn="1" w:lastColumn="0" w:oddVBand="0" w:evenVBand="0" w:oddHBand="0" w:evenHBand="0" w:firstRowFirstColumn="0" w:firstRowLastColumn="0" w:lastRowFirstColumn="0" w:lastRowLastColumn="0"/>
            <w:tcW w:w="2915" w:type="dxa"/>
          </w:tcPr>
          <w:p w14:paraId="4CBFBC9D" w14:textId="3D77E114" w:rsidR="00E60399" w:rsidRPr="00470F03" w:rsidRDefault="00391857" w:rsidP="009076A0">
            <w:pPr>
              <w:pStyle w:val="Committeetemplate"/>
              <w:numPr>
                <w:ilvl w:val="0"/>
                <w:numId w:val="0"/>
              </w:numPr>
              <w:spacing w:line="276" w:lineRule="auto"/>
              <w:rPr>
                <w:b w:val="0"/>
                <w:spacing w:val="-20"/>
                <w:sz w:val="18"/>
                <w:szCs w:val="20"/>
              </w:rPr>
            </w:pPr>
            <w:r>
              <w:rPr>
                <w:b w:val="0"/>
                <w:spacing w:val="-20"/>
                <w:sz w:val="18"/>
                <w:szCs w:val="20"/>
              </w:rPr>
              <w:t>3 Bay View Terrace</w:t>
            </w:r>
          </w:p>
        </w:tc>
        <w:tc>
          <w:tcPr>
            <w:tcW w:w="1217" w:type="dxa"/>
          </w:tcPr>
          <w:p w14:paraId="72B3A022" w14:textId="77777777" w:rsidR="00E60399" w:rsidRPr="00470F03" w:rsidRDefault="00E60399" w:rsidP="009076A0">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470F03">
              <w:rPr>
                <w:sz w:val="18"/>
                <w:szCs w:val="20"/>
              </w:rPr>
              <w:t>13/08/20021</w:t>
            </w:r>
          </w:p>
        </w:tc>
        <w:tc>
          <w:tcPr>
            <w:tcW w:w="1245" w:type="dxa"/>
          </w:tcPr>
          <w:p w14:paraId="70133508" w14:textId="77777777" w:rsidR="00E60399" w:rsidRPr="00470F03" w:rsidRDefault="00E60399" w:rsidP="009076A0">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470F03">
              <w:rPr>
                <w:sz w:val="18"/>
                <w:szCs w:val="20"/>
              </w:rPr>
              <w:t>12/09/2021</w:t>
            </w:r>
          </w:p>
        </w:tc>
        <w:tc>
          <w:tcPr>
            <w:tcW w:w="1197" w:type="dxa"/>
          </w:tcPr>
          <w:p w14:paraId="2BE65756" w14:textId="77777777" w:rsidR="00E60399" w:rsidRPr="00470F03" w:rsidRDefault="00E60399" w:rsidP="009076A0">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w:t>
            </w:r>
          </w:p>
        </w:tc>
        <w:tc>
          <w:tcPr>
            <w:tcW w:w="2215" w:type="dxa"/>
          </w:tcPr>
          <w:p w14:paraId="3EB15995" w14:textId="77777777" w:rsidR="00E60399" w:rsidRPr="00470F03" w:rsidRDefault="00E60399" w:rsidP="009076A0">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w:t>
            </w:r>
          </w:p>
        </w:tc>
      </w:tr>
      <w:tr w:rsidR="00E60399" w:rsidRPr="00470F03" w14:paraId="6BAACEA1" w14:textId="77777777" w:rsidTr="00E70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5" w:type="dxa"/>
          </w:tcPr>
          <w:p w14:paraId="3B457C2D" w14:textId="2FB79355" w:rsidR="00E60399" w:rsidRPr="00470F03" w:rsidRDefault="00391857" w:rsidP="009076A0">
            <w:pPr>
              <w:pStyle w:val="Committeetemplate"/>
              <w:numPr>
                <w:ilvl w:val="0"/>
                <w:numId w:val="0"/>
              </w:numPr>
              <w:spacing w:line="276" w:lineRule="auto"/>
              <w:rPr>
                <w:b w:val="0"/>
                <w:spacing w:val="-20"/>
                <w:sz w:val="18"/>
                <w:szCs w:val="20"/>
              </w:rPr>
            </w:pPr>
            <w:r>
              <w:rPr>
                <w:b w:val="0"/>
                <w:spacing w:val="-20"/>
                <w:sz w:val="18"/>
                <w:szCs w:val="20"/>
              </w:rPr>
              <w:t>2B Bay View Terrace</w:t>
            </w:r>
          </w:p>
        </w:tc>
        <w:tc>
          <w:tcPr>
            <w:tcW w:w="1217" w:type="dxa"/>
          </w:tcPr>
          <w:p w14:paraId="73B9A010" w14:textId="77777777" w:rsidR="00E60399" w:rsidRPr="00470F03" w:rsidRDefault="00E60399" w:rsidP="009076A0">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20"/>
              </w:rPr>
            </w:pPr>
            <w:r w:rsidRPr="00470F03">
              <w:rPr>
                <w:sz w:val="18"/>
                <w:szCs w:val="20"/>
              </w:rPr>
              <w:t>13/08/20021</w:t>
            </w:r>
          </w:p>
        </w:tc>
        <w:tc>
          <w:tcPr>
            <w:tcW w:w="1245" w:type="dxa"/>
          </w:tcPr>
          <w:p w14:paraId="333E7E39" w14:textId="77777777" w:rsidR="00E60399" w:rsidRPr="00470F03" w:rsidRDefault="00E60399" w:rsidP="009076A0">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20"/>
              </w:rPr>
            </w:pPr>
            <w:r w:rsidRPr="00470F03">
              <w:rPr>
                <w:sz w:val="18"/>
                <w:szCs w:val="20"/>
              </w:rPr>
              <w:t>12/09/2021</w:t>
            </w:r>
          </w:p>
        </w:tc>
        <w:tc>
          <w:tcPr>
            <w:tcW w:w="1197" w:type="dxa"/>
          </w:tcPr>
          <w:p w14:paraId="7F7D26A5" w14:textId="77777777" w:rsidR="00E60399" w:rsidRPr="00470F03" w:rsidRDefault="00E60399" w:rsidP="009076A0">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20"/>
              </w:rPr>
            </w:pPr>
            <w:r>
              <w:rPr>
                <w:sz w:val="18"/>
                <w:szCs w:val="20"/>
              </w:rPr>
              <w:t>-</w:t>
            </w:r>
          </w:p>
        </w:tc>
        <w:tc>
          <w:tcPr>
            <w:tcW w:w="2215" w:type="dxa"/>
          </w:tcPr>
          <w:p w14:paraId="7F409541" w14:textId="77777777" w:rsidR="00E60399" w:rsidRPr="00470F03" w:rsidRDefault="00E60399" w:rsidP="009076A0">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20"/>
              </w:rPr>
            </w:pPr>
            <w:r>
              <w:rPr>
                <w:sz w:val="18"/>
                <w:szCs w:val="20"/>
              </w:rPr>
              <w:t>-</w:t>
            </w:r>
          </w:p>
        </w:tc>
      </w:tr>
      <w:tr w:rsidR="000D6726" w:rsidRPr="00470F03" w14:paraId="0D0EBBB0" w14:textId="77777777" w:rsidTr="00E7078A">
        <w:tc>
          <w:tcPr>
            <w:cnfStyle w:val="001000000000" w:firstRow="0" w:lastRow="0" w:firstColumn="1" w:lastColumn="0" w:oddVBand="0" w:evenVBand="0" w:oddHBand="0" w:evenHBand="0" w:firstRowFirstColumn="0" w:firstRowLastColumn="0" w:lastRowFirstColumn="0" w:lastRowLastColumn="0"/>
            <w:tcW w:w="2915" w:type="dxa"/>
          </w:tcPr>
          <w:p w14:paraId="5870BF22" w14:textId="322664CE" w:rsidR="000D6726" w:rsidRDefault="000D6726" w:rsidP="000D6726">
            <w:pPr>
              <w:pStyle w:val="Committeetemplate"/>
              <w:numPr>
                <w:ilvl w:val="0"/>
                <w:numId w:val="0"/>
              </w:numPr>
              <w:spacing w:line="276" w:lineRule="auto"/>
              <w:rPr>
                <w:b w:val="0"/>
                <w:spacing w:val="-20"/>
                <w:sz w:val="18"/>
                <w:szCs w:val="20"/>
              </w:rPr>
            </w:pPr>
            <w:r>
              <w:rPr>
                <w:b w:val="0"/>
                <w:spacing w:val="-20"/>
                <w:sz w:val="18"/>
                <w:szCs w:val="20"/>
              </w:rPr>
              <w:t>2A Bay View Terrace</w:t>
            </w:r>
          </w:p>
        </w:tc>
        <w:tc>
          <w:tcPr>
            <w:tcW w:w="1217" w:type="dxa"/>
          </w:tcPr>
          <w:p w14:paraId="7861545D" w14:textId="1E543330" w:rsidR="000D6726" w:rsidRPr="00470F03" w:rsidRDefault="000D6726" w:rsidP="000D6726">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470F03">
              <w:rPr>
                <w:sz w:val="18"/>
                <w:szCs w:val="20"/>
              </w:rPr>
              <w:t>13/08/20021</w:t>
            </w:r>
          </w:p>
        </w:tc>
        <w:tc>
          <w:tcPr>
            <w:tcW w:w="1245" w:type="dxa"/>
          </w:tcPr>
          <w:p w14:paraId="48EE6BE5" w14:textId="1F3C79B4" w:rsidR="000D6726" w:rsidRPr="00470F03" w:rsidRDefault="000D6726" w:rsidP="000D6726">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470F03">
              <w:rPr>
                <w:sz w:val="18"/>
                <w:szCs w:val="20"/>
              </w:rPr>
              <w:t>12/09/2021</w:t>
            </w:r>
          </w:p>
        </w:tc>
        <w:tc>
          <w:tcPr>
            <w:tcW w:w="1197" w:type="dxa"/>
          </w:tcPr>
          <w:p w14:paraId="7DAE109F" w14:textId="0B50A68B" w:rsidR="000D6726" w:rsidRDefault="000D6726" w:rsidP="000D6726">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w:t>
            </w:r>
          </w:p>
        </w:tc>
        <w:tc>
          <w:tcPr>
            <w:tcW w:w="2215" w:type="dxa"/>
          </w:tcPr>
          <w:p w14:paraId="19C09B33" w14:textId="3011DC1E" w:rsidR="000D6726" w:rsidRDefault="000D6726" w:rsidP="000D6726">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w:t>
            </w:r>
          </w:p>
        </w:tc>
      </w:tr>
      <w:tr w:rsidR="000D6726" w:rsidRPr="00391857" w14:paraId="082F5E38" w14:textId="77777777" w:rsidTr="00E70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5" w:type="dxa"/>
          </w:tcPr>
          <w:p w14:paraId="770369D5" w14:textId="77777777" w:rsidR="000D6726" w:rsidRPr="00391857" w:rsidRDefault="000D6726" w:rsidP="000D6726">
            <w:pPr>
              <w:pStyle w:val="Committeetemplate"/>
              <w:numPr>
                <w:ilvl w:val="0"/>
                <w:numId w:val="0"/>
              </w:numPr>
              <w:spacing w:line="276" w:lineRule="auto"/>
              <w:rPr>
                <w:b w:val="0"/>
                <w:bCs w:val="0"/>
                <w:spacing w:val="-20"/>
                <w:sz w:val="18"/>
                <w:szCs w:val="20"/>
              </w:rPr>
            </w:pPr>
            <w:r w:rsidRPr="00391857">
              <w:rPr>
                <w:b w:val="0"/>
                <w:bCs w:val="0"/>
                <w:spacing w:val="-20"/>
                <w:sz w:val="18"/>
                <w:szCs w:val="20"/>
              </w:rPr>
              <w:t>6B Bay View Terrace</w:t>
            </w:r>
          </w:p>
        </w:tc>
        <w:tc>
          <w:tcPr>
            <w:tcW w:w="1217" w:type="dxa"/>
          </w:tcPr>
          <w:p w14:paraId="59000D5C" w14:textId="6E15A9E2" w:rsidR="000D6726" w:rsidRPr="00391857" w:rsidRDefault="000D6726" w:rsidP="000D6726">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20"/>
              </w:rPr>
            </w:pPr>
            <w:r w:rsidRPr="00470F03">
              <w:rPr>
                <w:sz w:val="18"/>
                <w:szCs w:val="20"/>
              </w:rPr>
              <w:t>13/08/20021</w:t>
            </w:r>
          </w:p>
        </w:tc>
        <w:tc>
          <w:tcPr>
            <w:tcW w:w="1245" w:type="dxa"/>
          </w:tcPr>
          <w:p w14:paraId="720D5B5C" w14:textId="5023257B" w:rsidR="000D6726" w:rsidRPr="00391857" w:rsidRDefault="000D6726" w:rsidP="000D6726">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20"/>
              </w:rPr>
            </w:pPr>
            <w:r w:rsidRPr="00470F03">
              <w:rPr>
                <w:sz w:val="18"/>
                <w:szCs w:val="20"/>
              </w:rPr>
              <w:t>12/09/2021</w:t>
            </w:r>
          </w:p>
        </w:tc>
        <w:tc>
          <w:tcPr>
            <w:tcW w:w="1197" w:type="dxa"/>
          </w:tcPr>
          <w:p w14:paraId="0576C991" w14:textId="38363886" w:rsidR="000D6726" w:rsidRPr="00391857" w:rsidRDefault="000D6726" w:rsidP="000D6726">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20"/>
              </w:rPr>
            </w:pPr>
            <w:r>
              <w:rPr>
                <w:sz w:val="18"/>
                <w:szCs w:val="20"/>
              </w:rPr>
              <w:t>-</w:t>
            </w:r>
          </w:p>
        </w:tc>
        <w:tc>
          <w:tcPr>
            <w:tcW w:w="2215" w:type="dxa"/>
          </w:tcPr>
          <w:p w14:paraId="391F7DF1" w14:textId="13234D6A" w:rsidR="000D6726" w:rsidRPr="00391857" w:rsidRDefault="000D6726" w:rsidP="000D6726">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20"/>
              </w:rPr>
            </w:pPr>
            <w:r>
              <w:rPr>
                <w:sz w:val="18"/>
                <w:szCs w:val="20"/>
              </w:rPr>
              <w:t>-</w:t>
            </w:r>
          </w:p>
        </w:tc>
      </w:tr>
      <w:tr w:rsidR="000D6726" w:rsidRPr="00391857" w14:paraId="495EED88" w14:textId="77777777" w:rsidTr="00E7078A">
        <w:tc>
          <w:tcPr>
            <w:cnfStyle w:val="001000000000" w:firstRow="0" w:lastRow="0" w:firstColumn="1" w:lastColumn="0" w:oddVBand="0" w:evenVBand="0" w:oddHBand="0" w:evenHBand="0" w:firstRowFirstColumn="0" w:firstRowLastColumn="0" w:lastRowFirstColumn="0" w:lastRowLastColumn="0"/>
            <w:tcW w:w="2915" w:type="dxa"/>
          </w:tcPr>
          <w:p w14:paraId="1C3E51C1" w14:textId="77777777" w:rsidR="000D6726" w:rsidRPr="00391857" w:rsidRDefault="000D6726" w:rsidP="000D6726">
            <w:pPr>
              <w:pStyle w:val="Committeetemplate"/>
              <w:numPr>
                <w:ilvl w:val="0"/>
                <w:numId w:val="0"/>
              </w:numPr>
              <w:spacing w:line="276" w:lineRule="auto"/>
              <w:rPr>
                <w:b w:val="0"/>
                <w:bCs w:val="0"/>
                <w:spacing w:val="-20"/>
                <w:sz w:val="18"/>
                <w:szCs w:val="20"/>
              </w:rPr>
            </w:pPr>
            <w:r w:rsidRPr="00391857">
              <w:rPr>
                <w:b w:val="0"/>
                <w:bCs w:val="0"/>
                <w:spacing w:val="-20"/>
                <w:sz w:val="18"/>
                <w:szCs w:val="20"/>
              </w:rPr>
              <w:t>Chalet 6 Bay View Terrace</w:t>
            </w:r>
          </w:p>
        </w:tc>
        <w:tc>
          <w:tcPr>
            <w:tcW w:w="1217" w:type="dxa"/>
          </w:tcPr>
          <w:p w14:paraId="1DD31090" w14:textId="6F61CC8D" w:rsidR="000D6726" w:rsidRPr="00391857" w:rsidRDefault="000D6726" w:rsidP="000D6726">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470F03">
              <w:rPr>
                <w:sz w:val="18"/>
                <w:szCs w:val="20"/>
              </w:rPr>
              <w:t>13/08/20021</w:t>
            </w:r>
          </w:p>
        </w:tc>
        <w:tc>
          <w:tcPr>
            <w:tcW w:w="1245" w:type="dxa"/>
          </w:tcPr>
          <w:p w14:paraId="452F27AC" w14:textId="15F13A81" w:rsidR="000D6726" w:rsidRPr="00391857" w:rsidRDefault="000D6726" w:rsidP="000D6726">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470F03">
              <w:rPr>
                <w:sz w:val="18"/>
                <w:szCs w:val="20"/>
              </w:rPr>
              <w:t>12/09/2021</w:t>
            </w:r>
          </w:p>
        </w:tc>
        <w:tc>
          <w:tcPr>
            <w:tcW w:w="1197" w:type="dxa"/>
          </w:tcPr>
          <w:p w14:paraId="3D11D6A3" w14:textId="4C5DA217" w:rsidR="000D6726" w:rsidRPr="00391857" w:rsidRDefault="000D6726" w:rsidP="000D6726">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w:t>
            </w:r>
          </w:p>
        </w:tc>
        <w:tc>
          <w:tcPr>
            <w:tcW w:w="2215" w:type="dxa"/>
          </w:tcPr>
          <w:p w14:paraId="70640D4B" w14:textId="3F202A3E" w:rsidR="000D6726" w:rsidRPr="00391857" w:rsidRDefault="000D6726" w:rsidP="000D6726">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w:t>
            </w:r>
          </w:p>
        </w:tc>
      </w:tr>
      <w:tr w:rsidR="000D6726" w:rsidRPr="00391857" w14:paraId="7570372B" w14:textId="77777777" w:rsidTr="00E70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5" w:type="dxa"/>
          </w:tcPr>
          <w:p w14:paraId="59CB5AD6" w14:textId="77777777" w:rsidR="000D6726" w:rsidRPr="00391857" w:rsidRDefault="000D6726" w:rsidP="000D6726">
            <w:pPr>
              <w:pStyle w:val="Committeetemplate"/>
              <w:numPr>
                <w:ilvl w:val="0"/>
                <w:numId w:val="0"/>
              </w:numPr>
              <w:spacing w:line="276" w:lineRule="auto"/>
              <w:rPr>
                <w:b w:val="0"/>
                <w:bCs w:val="0"/>
                <w:spacing w:val="-20"/>
                <w:sz w:val="18"/>
                <w:szCs w:val="20"/>
              </w:rPr>
            </w:pPr>
            <w:r w:rsidRPr="00391857">
              <w:rPr>
                <w:b w:val="0"/>
                <w:bCs w:val="0"/>
                <w:spacing w:val="-20"/>
                <w:sz w:val="18"/>
                <w:szCs w:val="20"/>
              </w:rPr>
              <w:t>7 Bay View Terrace</w:t>
            </w:r>
          </w:p>
        </w:tc>
        <w:tc>
          <w:tcPr>
            <w:tcW w:w="1217" w:type="dxa"/>
          </w:tcPr>
          <w:p w14:paraId="6968BB2D" w14:textId="625E3550" w:rsidR="000D6726" w:rsidRPr="00391857" w:rsidRDefault="000D6726" w:rsidP="000D6726">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20"/>
              </w:rPr>
            </w:pPr>
            <w:r w:rsidRPr="00470F03">
              <w:rPr>
                <w:sz w:val="18"/>
                <w:szCs w:val="20"/>
              </w:rPr>
              <w:t>13/08/20021</w:t>
            </w:r>
          </w:p>
        </w:tc>
        <w:tc>
          <w:tcPr>
            <w:tcW w:w="1245" w:type="dxa"/>
          </w:tcPr>
          <w:p w14:paraId="71E19BB7" w14:textId="53301EB8" w:rsidR="000D6726" w:rsidRPr="00391857" w:rsidRDefault="000D6726" w:rsidP="000D6726">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20"/>
              </w:rPr>
            </w:pPr>
            <w:r w:rsidRPr="00470F03">
              <w:rPr>
                <w:sz w:val="18"/>
                <w:szCs w:val="20"/>
              </w:rPr>
              <w:t>12/09/2021</w:t>
            </w:r>
          </w:p>
        </w:tc>
        <w:tc>
          <w:tcPr>
            <w:tcW w:w="1197" w:type="dxa"/>
          </w:tcPr>
          <w:p w14:paraId="771FAAAC" w14:textId="500156DA" w:rsidR="000D6726" w:rsidRPr="00391857" w:rsidRDefault="000D6726" w:rsidP="000D6726">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20"/>
              </w:rPr>
            </w:pPr>
            <w:r>
              <w:rPr>
                <w:sz w:val="18"/>
                <w:szCs w:val="20"/>
              </w:rPr>
              <w:t>-</w:t>
            </w:r>
          </w:p>
        </w:tc>
        <w:tc>
          <w:tcPr>
            <w:tcW w:w="2215" w:type="dxa"/>
          </w:tcPr>
          <w:p w14:paraId="14E3779B" w14:textId="5E6DCA3A" w:rsidR="000D6726" w:rsidRPr="00391857" w:rsidRDefault="000D6726" w:rsidP="000D6726">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20"/>
              </w:rPr>
            </w:pPr>
            <w:r>
              <w:rPr>
                <w:sz w:val="18"/>
                <w:szCs w:val="20"/>
              </w:rPr>
              <w:t>-</w:t>
            </w:r>
          </w:p>
        </w:tc>
      </w:tr>
      <w:tr w:rsidR="000D6726" w:rsidRPr="00470F03" w14:paraId="2A360FA8" w14:textId="77777777" w:rsidTr="00E7078A">
        <w:tc>
          <w:tcPr>
            <w:cnfStyle w:val="001000000000" w:firstRow="0" w:lastRow="0" w:firstColumn="1" w:lastColumn="0" w:oddVBand="0" w:evenVBand="0" w:oddHBand="0" w:evenHBand="0" w:firstRowFirstColumn="0" w:firstRowLastColumn="0" w:lastRowFirstColumn="0" w:lastRowLastColumn="0"/>
            <w:tcW w:w="2915" w:type="dxa"/>
          </w:tcPr>
          <w:p w14:paraId="4427F646" w14:textId="77777777" w:rsidR="000D6726" w:rsidRPr="000D6726" w:rsidRDefault="000D6726" w:rsidP="000D6726">
            <w:pPr>
              <w:pStyle w:val="Committeetemplate"/>
              <w:numPr>
                <w:ilvl w:val="0"/>
                <w:numId w:val="0"/>
              </w:numPr>
              <w:spacing w:line="276" w:lineRule="auto"/>
              <w:rPr>
                <w:b w:val="0"/>
                <w:spacing w:val="-20"/>
                <w:sz w:val="18"/>
                <w:szCs w:val="20"/>
              </w:rPr>
            </w:pPr>
            <w:r w:rsidRPr="000D6726">
              <w:rPr>
                <w:b w:val="0"/>
                <w:spacing w:val="-20"/>
                <w:sz w:val="18"/>
                <w:szCs w:val="20"/>
              </w:rPr>
              <w:t>Unit Rear Of</w:t>
            </w:r>
          </w:p>
          <w:p w14:paraId="206393F7" w14:textId="4C1FB44B" w:rsidR="000D6726" w:rsidRDefault="000D6726" w:rsidP="000D6726">
            <w:pPr>
              <w:pStyle w:val="Committeetemplate"/>
              <w:numPr>
                <w:ilvl w:val="0"/>
                <w:numId w:val="0"/>
              </w:numPr>
              <w:spacing w:line="276" w:lineRule="auto"/>
              <w:rPr>
                <w:b w:val="0"/>
                <w:spacing w:val="-20"/>
                <w:sz w:val="18"/>
                <w:szCs w:val="20"/>
              </w:rPr>
            </w:pPr>
            <w:r w:rsidRPr="000D6726">
              <w:rPr>
                <w:b w:val="0"/>
                <w:spacing w:val="-20"/>
                <w:sz w:val="18"/>
                <w:szCs w:val="20"/>
              </w:rPr>
              <w:t>2 Bay View Terrace</w:t>
            </w:r>
          </w:p>
        </w:tc>
        <w:tc>
          <w:tcPr>
            <w:tcW w:w="1217" w:type="dxa"/>
          </w:tcPr>
          <w:p w14:paraId="27303656" w14:textId="78175ED1" w:rsidR="000D6726" w:rsidRPr="00470F03" w:rsidRDefault="000D6726" w:rsidP="000D6726">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470F03">
              <w:rPr>
                <w:sz w:val="18"/>
                <w:szCs w:val="20"/>
              </w:rPr>
              <w:t>13/08/20021</w:t>
            </w:r>
          </w:p>
        </w:tc>
        <w:tc>
          <w:tcPr>
            <w:tcW w:w="1245" w:type="dxa"/>
          </w:tcPr>
          <w:p w14:paraId="7FA13F47" w14:textId="339D804C" w:rsidR="000D6726" w:rsidRPr="00470F03" w:rsidRDefault="000D6726" w:rsidP="000D6726">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470F03">
              <w:rPr>
                <w:sz w:val="18"/>
                <w:szCs w:val="20"/>
              </w:rPr>
              <w:t>12/09/2021</w:t>
            </w:r>
          </w:p>
        </w:tc>
        <w:tc>
          <w:tcPr>
            <w:tcW w:w="1197" w:type="dxa"/>
          </w:tcPr>
          <w:p w14:paraId="68059647" w14:textId="34F3F587" w:rsidR="000D6726" w:rsidRDefault="000D6726" w:rsidP="000D6726">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w:t>
            </w:r>
          </w:p>
        </w:tc>
        <w:tc>
          <w:tcPr>
            <w:tcW w:w="2215" w:type="dxa"/>
          </w:tcPr>
          <w:p w14:paraId="39631C00" w14:textId="0E1F0973" w:rsidR="000D6726" w:rsidRDefault="000D6726" w:rsidP="000D6726">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w:t>
            </w:r>
          </w:p>
        </w:tc>
      </w:tr>
      <w:tr w:rsidR="000D6726" w:rsidRPr="00470F03" w14:paraId="48A69391" w14:textId="77777777" w:rsidTr="00E70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5" w:type="dxa"/>
          </w:tcPr>
          <w:p w14:paraId="12C5E59C" w14:textId="0708DFFC" w:rsidR="000D6726" w:rsidRPr="00470F03" w:rsidRDefault="000D6726" w:rsidP="000D6726">
            <w:pPr>
              <w:pStyle w:val="Committeetemplate"/>
              <w:numPr>
                <w:ilvl w:val="0"/>
                <w:numId w:val="0"/>
              </w:numPr>
              <w:spacing w:line="276" w:lineRule="auto"/>
              <w:rPr>
                <w:b w:val="0"/>
                <w:spacing w:val="-20"/>
                <w:sz w:val="18"/>
                <w:szCs w:val="20"/>
              </w:rPr>
            </w:pPr>
            <w:r>
              <w:rPr>
                <w:b w:val="0"/>
                <w:spacing w:val="-20"/>
                <w:sz w:val="18"/>
                <w:szCs w:val="20"/>
              </w:rPr>
              <w:t>1 Bay View Terrace</w:t>
            </w:r>
          </w:p>
        </w:tc>
        <w:tc>
          <w:tcPr>
            <w:tcW w:w="1217" w:type="dxa"/>
          </w:tcPr>
          <w:p w14:paraId="4D065389" w14:textId="77777777" w:rsidR="000D6726" w:rsidRPr="00470F03" w:rsidRDefault="000D6726" w:rsidP="000D6726">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20"/>
              </w:rPr>
            </w:pPr>
            <w:r w:rsidRPr="00470F03">
              <w:rPr>
                <w:sz w:val="18"/>
                <w:szCs w:val="20"/>
              </w:rPr>
              <w:t>13/08/20021</w:t>
            </w:r>
          </w:p>
        </w:tc>
        <w:tc>
          <w:tcPr>
            <w:tcW w:w="1245" w:type="dxa"/>
          </w:tcPr>
          <w:p w14:paraId="06BF7BA6" w14:textId="77777777" w:rsidR="000D6726" w:rsidRPr="00470F03" w:rsidRDefault="000D6726" w:rsidP="000D6726">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20"/>
              </w:rPr>
            </w:pPr>
            <w:r w:rsidRPr="00470F03">
              <w:rPr>
                <w:sz w:val="18"/>
                <w:szCs w:val="20"/>
              </w:rPr>
              <w:t>12/09/2021</w:t>
            </w:r>
          </w:p>
        </w:tc>
        <w:tc>
          <w:tcPr>
            <w:tcW w:w="1197" w:type="dxa"/>
          </w:tcPr>
          <w:p w14:paraId="7AF750B7" w14:textId="1B59EB79" w:rsidR="000D6726" w:rsidRPr="00470F03" w:rsidRDefault="000D6726" w:rsidP="000D6726">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20"/>
              </w:rPr>
            </w:pPr>
            <w:r>
              <w:rPr>
                <w:sz w:val="18"/>
                <w:szCs w:val="20"/>
              </w:rPr>
              <w:t>-</w:t>
            </w:r>
          </w:p>
        </w:tc>
        <w:tc>
          <w:tcPr>
            <w:tcW w:w="2215" w:type="dxa"/>
          </w:tcPr>
          <w:p w14:paraId="7CE06C45" w14:textId="3A7772F4" w:rsidR="000D6726" w:rsidRPr="00470F03" w:rsidRDefault="000D6726" w:rsidP="000D6726">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20"/>
              </w:rPr>
            </w:pPr>
            <w:r>
              <w:rPr>
                <w:sz w:val="18"/>
                <w:szCs w:val="20"/>
              </w:rPr>
              <w:t>-</w:t>
            </w:r>
          </w:p>
        </w:tc>
      </w:tr>
      <w:tr w:rsidR="000D6726" w:rsidRPr="00470F03" w14:paraId="4F51BD82" w14:textId="77777777" w:rsidTr="00E7078A">
        <w:tc>
          <w:tcPr>
            <w:cnfStyle w:val="001000000000" w:firstRow="0" w:lastRow="0" w:firstColumn="1" w:lastColumn="0" w:oddVBand="0" w:evenVBand="0" w:oddHBand="0" w:evenHBand="0" w:firstRowFirstColumn="0" w:firstRowLastColumn="0" w:lastRowFirstColumn="0" w:lastRowLastColumn="0"/>
            <w:tcW w:w="2915" w:type="dxa"/>
          </w:tcPr>
          <w:p w14:paraId="39780F4C" w14:textId="3D708F72" w:rsidR="000D6726" w:rsidRPr="00470F03" w:rsidRDefault="000D6726" w:rsidP="000D6726">
            <w:pPr>
              <w:pStyle w:val="Committeetemplate"/>
              <w:numPr>
                <w:ilvl w:val="0"/>
                <w:numId w:val="0"/>
              </w:numPr>
              <w:spacing w:line="276" w:lineRule="auto"/>
              <w:rPr>
                <w:b w:val="0"/>
                <w:spacing w:val="-20"/>
                <w:sz w:val="18"/>
                <w:szCs w:val="20"/>
              </w:rPr>
            </w:pPr>
            <w:r>
              <w:rPr>
                <w:b w:val="0"/>
                <w:spacing w:val="-20"/>
                <w:sz w:val="18"/>
                <w:szCs w:val="20"/>
              </w:rPr>
              <w:t xml:space="preserve">Rat Island Boat Yard, 27 Porthmellon </w:t>
            </w:r>
            <w:r w:rsidR="00D85A2F">
              <w:rPr>
                <w:b w:val="0"/>
                <w:spacing w:val="-20"/>
                <w:sz w:val="18"/>
                <w:szCs w:val="20"/>
              </w:rPr>
              <w:t>Industrial</w:t>
            </w:r>
            <w:r>
              <w:rPr>
                <w:b w:val="0"/>
                <w:spacing w:val="-20"/>
                <w:sz w:val="18"/>
                <w:szCs w:val="20"/>
              </w:rPr>
              <w:t xml:space="preserve"> Estate</w:t>
            </w:r>
          </w:p>
        </w:tc>
        <w:tc>
          <w:tcPr>
            <w:tcW w:w="1217" w:type="dxa"/>
          </w:tcPr>
          <w:p w14:paraId="4DEFA67B" w14:textId="77777777" w:rsidR="000D6726" w:rsidRPr="00470F03" w:rsidRDefault="000D6726" w:rsidP="000D6726">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470F03">
              <w:rPr>
                <w:sz w:val="18"/>
                <w:szCs w:val="20"/>
              </w:rPr>
              <w:t>13/08/20021</w:t>
            </w:r>
          </w:p>
        </w:tc>
        <w:tc>
          <w:tcPr>
            <w:tcW w:w="1245" w:type="dxa"/>
          </w:tcPr>
          <w:p w14:paraId="7DD2AEA5" w14:textId="77777777" w:rsidR="000D6726" w:rsidRPr="00470F03" w:rsidRDefault="000D6726" w:rsidP="000D6726">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470F03">
              <w:rPr>
                <w:sz w:val="18"/>
                <w:szCs w:val="20"/>
              </w:rPr>
              <w:t>12/09/2021</w:t>
            </w:r>
          </w:p>
        </w:tc>
        <w:tc>
          <w:tcPr>
            <w:tcW w:w="1197" w:type="dxa"/>
          </w:tcPr>
          <w:p w14:paraId="1682FAB6" w14:textId="759931AC" w:rsidR="000D6726" w:rsidRPr="00470F03" w:rsidRDefault="000D6726" w:rsidP="000D6726">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w:t>
            </w:r>
          </w:p>
        </w:tc>
        <w:tc>
          <w:tcPr>
            <w:tcW w:w="2215" w:type="dxa"/>
          </w:tcPr>
          <w:p w14:paraId="39D8DAE1" w14:textId="37633545" w:rsidR="000D6726" w:rsidRPr="00470F03" w:rsidRDefault="000D6726" w:rsidP="000D6726">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w:t>
            </w:r>
          </w:p>
        </w:tc>
      </w:tr>
      <w:tr w:rsidR="000D6726" w:rsidRPr="00470F03" w14:paraId="740A952F" w14:textId="77777777" w:rsidTr="00E70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5" w:type="dxa"/>
          </w:tcPr>
          <w:p w14:paraId="0DE000EB" w14:textId="708F7CDC" w:rsidR="000D6726" w:rsidRPr="00470F03" w:rsidRDefault="000D6726" w:rsidP="000D6726">
            <w:pPr>
              <w:pStyle w:val="Committeetemplate"/>
              <w:numPr>
                <w:ilvl w:val="0"/>
                <w:numId w:val="0"/>
              </w:numPr>
              <w:spacing w:line="276" w:lineRule="auto"/>
              <w:rPr>
                <w:b w:val="0"/>
                <w:spacing w:val="-20"/>
                <w:sz w:val="18"/>
                <w:szCs w:val="20"/>
              </w:rPr>
            </w:pPr>
            <w:r>
              <w:rPr>
                <w:b w:val="0"/>
                <w:spacing w:val="-20"/>
                <w:sz w:val="18"/>
                <w:szCs w:val="20"/>
              </w:rPr>
              <w:t xml:space="preserve">30 Porthmellon </w:t>
            </w:r>
            <w:r w:rsidR="00D85A2F">
              <w:rPr>
                <w:b w:val="0"/>
                <w:spacing w:val="-20"/>
                <w:sz w:val="18"/>
                <w:szCs w:val="20"/>
              </w:rPr>
              <w:t>Industrial</w:t>
            </w:r>
            <w:r>
              <w:rPr>
                <w:b w:val="0"/>
                <w:spacing w:val="-20"/>
                <w:sz w:val="18"/>
                <w:szCs w:val="20"/>
              </w:rPr>
              <w:t xml:space="preserve"> Estate</w:t>
            </w:r>
          </w:p>
        </w:tc>
        <w:tc>
          <w:tcPr>
            <w:tcW w:w="1217" w:type="dxa"/>
          </w:tcPr>
          <w:p w14:paraId="658FDEEE" w14:textId="77777777" w:rsidR="000D6726" w:rsidRPr="00470F03" w:rsidRDefault="000D6726" w:rsidP="000D6726">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20"/>
              </w:rPr>
            </w:pPr>
            <w:r w:rsidRPr="00470F03">
              <w:rPr>
                <w:sz w:val="18"/>
                <w:szCs w:val="20"/>
              </w:rPr>
              <w:t>13/08/20021</w:t>
            </w:r>
          </w:p>
        </w:tc>
        <w:tc>
          <w:tcPr>
            <w:tcW w:w="1245" w:type="dxa"/>
          </w:tcPr>
          <w:p w14:paraId="5B684D11" w14:textId="77777777" w:rsidR="000D6726" w:rsidRPr="00470F03" w:rsidRDefault="000D6726" w:rsidP="000D6726">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20"/>
              </w:rPr>
            </w:pPr>
            <w:r w:rsidRPr="00470F03">
              <w:rPr>
                <w:sz w:val="18"/>
                <w:szCs w:val="20"/>
              </w:rPr>
              <w:t>12/09/2021</w:t>
            </w:r>
          </w:p>
        </w:tc>
        <w:tc>
          <w:tcPr>
            <w:tcW w:w="1197" w:type="dxa"/>
          </w:tcPr>
          <w:p w14:paraId="4B6161A3" w14:textId="2699E74C" w:rsidR="000D6726" w:rsidRPr="00470F03" w:rsidRDefault="000D6726" w:rsidP="000D6726">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20"/>
              </w:rPr>
            </w:pPr>
            <w:r>
              <w:rPr>
                <w:sz w:val="18"/>
                <w:szCs w:val="20"/>
              </w:rPr>
              <w:t>-</w:t>
            </w:r>
          </w:p>
        </w:tc>
        <w:tc>
          <w:tcPr>
            <w:tcW w:w="2215" w:type="dxa"/>
          </w:tcPr>
          <w:p w14:paraId="71EB8999" w14:textId="4E9E8C06" w:rsidR="000D6726" w:rsidRPr="00470F03" w:rsidRDefault="000D6726" w:rsidP="000D6726">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20"/>
              </w:rPr>
            </w:pPr>
            <w:r>
              <w:rPr>
                <w:sz w:val="18"/>
                <w:szCs w:val="20"/>
              </w:rPr>
              <w:t>-</w:t>
            </w:r>
          </w:p>
        </w:tc>
      </w:tr>
      <w:tr w:rsidR="000D6726" w:rsidRPr="00470F03" w14:paraId="619DA09A" w14:textId="77777777" w:rsidTr="00E7078A">
        <w:tc>
          <w:tcPr>
            <w:cnfStyle w:val="001000000000" w:firstRow="0" w:lastRow="0" w:firstColumn="1" w:lastColumn="0" w:oddVBand="0" w:evenVBand="0" w:oddHBand="0" w:evenHBand="0" w:firstRowFirstColumn="0" w:firstRowLastColumn="0" w:lastRowFirstColumn="0" w:lastRowLastColumn="0"/>
            <w:tcW w:w="2915" w:type="dxa"/>
          </w:tcPr>
          <w:p w14:paraId="550A2DC6" w14:textId="2579865F" w:rsidR="000D6726" w:rsidRPr="00470F03" w:rsidRDefault="000D6726" w:rsidP="000D6726">
            <w:pPr>
              <w:pStyle w:val="Committeetemplate"/>
              <w:numPr>
                <w:ilvl w:val="0"/>
                <w:numId w:val="0"/>
              </w:numPr>
              <w:spacing w:line="276" w:lineRule="auto"/>
              <w:rPr>
                <w:b w:val="0"/>
                <w:spacing w:val="-20"/>
                <w:sz w:val="18"/>
                <w:szCs w:val="20"/>
              </w:rPr>
            </w:pPr>
            <w:r>
              <w:rPr>
                <w:b w:val="0"/>
                <w:spacing w:val="-20"/>
                <w:sz w:val="18"/>
                <w:szCs w:val="20"/>
              </w:rPr>
              <w:t xml:space="preserve">Ales of Scilly 31 Porthmellon </w:t>
            </w:r>
            <w:r w:rsidR="00D85A2F">
              <w:rPr>
                <w:b w:val="0"/>
                <w:spacing w:val="-20"/>
                <w:sz w:val="18"/>
                <w:szCs w:val="20"/>
              </w:rPr>
              <w:t>Industrial</w:t>
            </w:r>
            <w:r>
              <w:rPr>
                <w:b w:val="0"/>
                <w:spacing w:val="-20"/>
                <w:sz w:val="18"/>
                <w:szCs w:val="20"/>
              </w:rPr>
              <w:t xml:space="preserve"> Estate</w:t>
            </w:r>
          </w:p>
        </w:tc>
        <w:tc>
          <w:tcPr>
            <w:tcW w:w="1217" w:type="dxa"/>
          </w:tcPr>
          <w:p w14:paraId="028AEEF5" w14:textId="77777777" w:rsidR="000D6726" w:rsidRPr="00470F03" w:rsidRDefault="000D6726" w:rsidP="000D6726">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470F03">
              <w:rPr>
                <w:sz w:val="18"/>
                <w:szCs w:val="20"/>
              </w:rPr>
              <w:t>13/08/20021</w:t>
            </w:r>
          </w:p>
        </w:tc>
        <w:tc>
          <w:tcPr>
            <w:tcW w:w="1245" w:type="dxa"/>
          </w:tcPr>
          <w:p w14:paraId="26FDE14E" w14:textId="77777777" w:rsidR="000D6726" w:rsidRPr="00470F03" w:rsidRDefault="000D6726" w:rsidP="000D6726">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470F03">
              <w:rPr>
                <w:sz w:val="18"/>
                <w:szCs w:val="20"/>
              </w:rPr>
              <w:t>12/09/2021</w:t>
            </w:r>
          </w:p>
        </w:tc>
        <w:tc>
          <w:tcPr>
            <w:tcW w:w="1197" w:type="dxa"/>
          </w:tcPr>
          <w:p w14:paraId="74B93EEF" w14:textId="373BA848" w:rsidR="000D6726" w:rsidRPr="00470F03" w:rsidRDefault="000D6726" w:rsidP="000D6726">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w:t>
            </w:r>
          </w:p>
        </w:tc>
        <w:tc>
          <w:tcPr>
            <w:tcW w:w="2215" w:type="dxa"/>
          </w:tcPr>
          <w:p w14:paraId="01B04041" w14:textId="323C90F4" w:rsidR="000D6726" w:rsidRPr="00470F03" w:rsidRDefault="000D6726" w:rsidP="000D6726">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w:t>
            </w:r>
          </w:p>
        </w:tc>
      </w:tr>
      <w:tr w:rsidR="000D6726" w:rsidRPr="00470F03" w14:paraId="561C27CB" w14:textId="77777777" w:rsidTr="00E70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5" w:type="dxa"/>
          </w:tcPr>
          <w:p w14:paraId="77272D7A" w14:textId="210E7B02" w:rsidR="000D6726" w:rsidRPr="00470F03" w:rsidRDefault="000D6726" w:rsidP="000D6726">
            <w:pPr>
              <w:pStyle w:val="Committeetemplate"/>
              <w:numPr>
                <w:ilvl w:val="0"/>
                <w:numId w:val="0"/>
              </w:numPr>
              <w:spacing w:line="276" w:lineRule="auto"/>
              <w:rPr>
                <w:b w:val="0"/>
                <w:spacing w:val="-20"/>
                <w:sz w:val="18"/>
                <w:szCs w:val="20"/>
              </w:rPr>
            </w:pPr>
            <w:r>
              <w:rPr>
                <w:b w:val="0"/>
                <w:spacing w:val="-20"/>
                <w:sz w:val="18"/>
                <w:szCs w:val="20"/>
              </w:rPr>
              <w:t xml:space="preserve">Isles of Scilly Underwater Centre, 14a Porthmellon </w:t>
            </w:r>
            <w:r w:rsidR="00D85A2F">
              <w:rPr>
                <w:b w:val="0"/>
                <w:spacing w:val="-20"/>
                <w:sz w:val="18"/>
                <w:szCs w:val="20"/>
              </w:rPr>
              <w:t>Industrial</w:t>
            </w:r>
            <w:r>
              <w:rPr>
                <w:b w:val="0"/>
                <w:spacing w:val="-20"/>
                <w:sz w:val="18"/>
                <w:szCs w:val="20"/>
              </w:rPr>
              <w:t xml:space="preserve"> Estate</w:t>
            </w:r>
          </w:p>
        </w:tc>
        <w:tc>
          <w:tcPr>
            <w:tcW w:w="1217" w:type="dxa"/>
          </w:tcPr>
          <w:p w14:paraId="3508A9FE" w14:textId="77777777" w:rsidR="000D6726" w:rsidRPr="00470F03" w:rsidRDefault="000D6726" w:rsidP="000D6726">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20"/>
              </w:rPr>
            </w:pPr>
            <w:r w:rsidRPr="00470F03">
              <w:rPr>
                <w:sz w:val="18"/>
                <w:szCs w:val="20"/>
              </w:rPr>
              <w:t>13/08/20021</w:t>
            </w:r>
          </w:p>
        </w:tc>
        <w:tc>
          <w:tcPr>
            <w:tcW w:w="1245" w:type="dxa"/>
          </w:tcPr>
          <w:p w14:paraId="286E34BD" w14:textId="77777777" w:rsidR="000D6726" w:rsidRPr="00470F03" w:rsidRDefault="000D6726" w:rsidP="000D6726">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20"/>
              </w:rPr>
            </w:pPr>
            <w:r w:rsidRPr="00470F03">
              <w:rPr>
                <w:sz w:val="18"/>
                <w:szCs w:val="20"/>
              </w:rPr>
              <w:t>12/09/2021</w:t>
            </w:r>
          </w:p>
        </w:tc>
        <w:tc>
          <w:tcPr>
            <w:tcW w:w="1197" w:type="dxa"/>
          </w:tcPr>
          <w:p w14:paraId="26EA0ABB" w14:textId="673EEE4A" w:rsidR="000D6726" w:rsidRPr="00470F03" w:rsidRDefault="000D6726" w:rsidP="000D6726">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20"/>
              </w:rPr>
            </w:pPr>
            <w:r>
              <w:rPr>
                <w:sz w:val="18"/>
                <w:szCs w:val="20"/>
              </w:rPr>
              <w:t>-</w:t>
            </w:r>
          </w:p>
        </w:tc>
        <w:tc>
          <w:tcPr>
            <w:tcW w:w="2215" w:type="dxa"/>
          </w:tcPr>
          <w:p w14:paraId="7BAA7A20" w14:textId="19B34C35" w:rsidR="000D6726" w:rsidRPr="00470F03" w:rsidRDefault="000D6726" w:rsidP="000D6726">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20"/>
              </w:rPr>
            </w:pPr>
            <w:r>
              <w:rPr>
                <w:sz w:val="18"/>
                <w:szCs w:val="20"/>
              </w:rPr>
              <w:t>-</w:t>
            </w:r>
          </w:p>
        </w:tc>
      </w:tr>
      <w:tr w:rsidR="000D6726" w:rsidRPr="00470F03" w14:paraId="4DBA067E" w14:textId="77777777" w:rsidTr="00E7078A">
        <w:tc>
          <w:tcPr>
            <w:cnfStyle w:val="001000000000" w:firstRow="0" w:lastRow="0" w:firstColumn="1" w:lastColumn="0" w:oddVBand="0" w:evenVBand="0" w:oddHBand="0" w:evenHBand="0" w:firstRowFirstColumn="0" w:firstRowLastColumn="0" w:lastRowFirstColumn="0" w:lastRowLastColumn="0"/>
            <w:tcW w:w="2915" w:type="dxa"/>
          </w:tcPr>
          <w:p w14:paraId="112F6E7E" w14:textId="32AD8140" w:rsidR="000D6726" w:rsidRPr="00470F03" w:rsidRDefault="000D6726" w:rsidP="000D6726">
            <w:pPr>
              <w:pStyle w:val="Committeetemplate"/>
              <w:numPr>
                <w:ilvl w:val="0"/>
                <w:numId w:val="0"/>
              </w:numPr>
              <w:spacing w:line="276" w:lineRule="auto"/>
              <w:rPr>
                <w:b w:val="0"/>
                <w:spacing w:val="-20"/>
                <w:sz w:val="18"/>
                <w:szCs w:val="20"/>
              </w:rPr>
            </w:pPr>
            <w:r>
              <w:rPr>
                <w:b w:val="0"/>
                <w:spacing w:val="-20"/>
                <w:sz w:val="18"/>
                <w:szCs w:val="20"/>
              </w:rPr>
              <w:t>The Beach, Telegraph Road</w:t>
            </w:r>
          </w:p>
        </w:tc>
        <w:tc>
          <w:tcPr>
            <w:tcW w:w="1217" w:type="dxa"/>
          </w:tcPr>
          <w:p w14:paraId="63AE7FC9" w14:textId="77777777" w:rsidR="000D6726" w:rsidRPr="00470F03" w:rsidRDefault="000D6726" w:rsidP="000D6726">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470F03">
              <w:rPr>
                <w:sz w:val="18"/>
                <w:szCs w:val="20"/>
              </w:rPr>
              <w:t>13/08/20021</w:t>
            </w:r>
          </w:p>
        </w:tc>
        <w:tc>
          <w:tcPr>
            <w:tcW w:w="1245" w:type="dxa"/>
          </w:tcPr>
          <w:p w14:paraId="38691BB6" w14:textId="77777777" w:rsidR="000D6726" w:rsidRPr="00470F03" w:rsidRDefault="000D6726" w:rsidP="000D6726">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470F03">
              <w:rPr>
                <w:sz w:val="18"/>
                <w:szCs w:val="20"/>
              </w:rPr>
              <w:t>12/09/2021</w:t>
            </w:r>
          </w:p>
        </w:tc>
        <w:tc>
          <w:tcPr>
            <w:tcW w:w="1197" w:type="dxa"/>
          </w:tcPr>
          <w:p w14:paraId="3358D8DA" w14:textId="45897916" w:rsidR="000D6726" w:rsidRPr="00470F03" w:rsidRDefault="000D6726" w:rsidP="000D6726">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w:t>
            </w:r>
          </w:p>
        </w:tc>
        <w:tc>
          <w:tcPr>
            <w:tcW w:w="2215" w:type="dxa"/>
          </w:tcPr>
          <w:p w14:paraId="728404D3" w14:textId="31B6871B" w:rsidR="000D6726" w:rsidRPr="00470F03" w:rsidRDefault="000D6726" w:rsidP="000D6726">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w:t>
            </w:r>
          </w:p>
        </w:tc>
      </w:tr>
      <w:tr w:rsidR="000D6726" w:rsidRPr="00470F03" w14:paraId="088F94AA" w14:textId="77777777" w:rsidTr="00E70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5" w:type="dxa"/>
          </w:tcPr>
          <w:p w14:paraId="7497E2B7" w14:textId="785AF82C" w:rsidR="000D6726" w:rsidRPr="00470F03" w:rsidRDefault="000D6726" w:rsidP="000D6726">
            <w:pPr>
              <w:pStyle w:val="Committeetemplate"/>
              <w:numPr>
                <w:ilvl w:val="0"/>
                <w:numId w:val="0"/>
              </w:numPr>
              <w:spacing w:line="276" w:lineRule="auto"/>
              <w:rPr>
                <w:b w:val="0"/>
                <w:spacing w:val="-20"/>
                <w:sz w:val="18"/>
                <w:szCs w:val="20"/>
              </w:rPr>
            </w:pPr>
            <w:r>
              <w:rPr>
                <w:b w:val="0"/>
                <w:spacing w:val="-20"/>
                <w:sz w:val="18"/>
                <w:szCs w:val="20"/>
              </w:rPr>
              <w:t>Gig Sheds, Telegraph Road</w:t>
            </w:r>
          </w:p>
        </w:tc>
        <w:tc>
          <w:tcPr>
            <w:tcW w:w="1217" w:type="dxa"/>
          </w:tcPr>
          <w:p w14:paraId="01E1899C" w14:textId="77777777" w:rsidR="000D6726" w:rsidRPr="00470F03" w:rsidRDefault="000D6726" w:rsidP="000D6726">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20"/>
              </w:rPr>
            </w:pPr>
            <w:r w:rsidRPr="00470F03">
              <w:rPr>
                <w:sz w:val="18"/>
                <w:szCs w:val="20"/>
              </w:rPr>
              <w:t>13/08/20021</w:t>
            </w:r>
          </w:p>
        </w:tc>
        <w:tc>
          <w:tcPr>
            <w:tcW w:w="1245" w:type="dxa"/>
          </w:tcPr>
          <w:p w14:paraId="4468D45A" w14:textId="77777777" w:rsidR="000D6726" w:rsidRPr="00470F03" w:rsidRDefault="000D6726" w:rsidP="000D6726">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20"/>
              </w:rPr>
            </w:pPr>
            <w:r w:rsidRPr="00470F03">
              <w:rPr>
                <w:sz w:val="18"/>
                <w:szCs w:val="20"/>
              </w:rPr>
              <w:t>12/09/2021</w:t>
            </w:r>
          </w:p>
        </w:tc>
        <w:tc>
          <w:tcPr>
            <w:tcW w:w="1197" w:type="dxa"/>
          </w:tcPr>
          <w:p w14:paraId="04A760C2" w14:textId="7513E40B" w:rsidR="000D6726" w:rsidRPr="00470F03" w:rsidRDefault="000D6726" w:rsidP="000D6726">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20"/>
              </w:rPr>
            </w:pPr>
            <w:r>
              <w:rPr>
                <w:sz w:val="18"/>
                <w:szCs w:val="20"/>
              </w:rPr>
              <w:t>-</w:t>
            </w:r>
          </w:p>
        </w:tc>
        <w:tc>
          <w:tcPr>
            <w:tcW w:w="2215" w:type="dxa"/>
          </w:tcPr>
          <w:p w14:paraId="2437B7B6" w14:textId="524D9BAC" w:rsidR="000D6726" w:rsidRPr="00470F03" w:rsidRDefault="000D6726" w:rsidP="000D6726">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20"/>
              </w:rPr>
            </w:pPr>
            <w:r>
              <w:rPr>
                <w:sz w:val="18"/>
                <w:szCs w:val="20"/>
              </w:rPr>
              <w:t>-</w:t>
            </w:r>
          </w:p>
        </w:tc>
      </w:tr>
      <w:tr w:rsidR="000D6726" w:rsidRPr="00470F03" w14:paraId="0A3A2D33" w14:textId="77777777" w:rsidTr="00E7078A">
        <w:tc>
          <w:tcPr>
            <w:cnfStyle w:val="001000000000" w:firstRow="0" w:lastRow="0" w:firstColumn="1" w:lastColumn="0" w:oddVBand="0" w:evenVBand="0" w:oddHBand="0" w:evenHBand="0" w:firstRowFirstColumn="0" w:firstRowLastColumn="0" w:lastRowFirstColumn="0" w:lastRowLastColumn="0"/>
            <w:tcW w:w="2915" w:type="dxa"/>
          </w:tcPr>
          <w:p w14:paraId="0747058B" w14:textId="1CFF1FBC" w:rsidR="000D6726" w:rsidRPr="00470F03" w:rsidRDefault="000D6726" w:rsidP="000D6726">
            <w:pPr>
              <w:pStyle w:val="Committeetemplate"/>
              <w:numPr>
                <w:ilvl w:val="0"/>
                <w:numId w:val="0"/>
              </w:numPr>
              <w:spacing w:line="276" w:lineRule="auto"/>
              <w:rPr>
                <w:b w:val="0"/>
                <w:spacing w:val="-20"/>
                <w:sz w:val="18"/>
                <w:szCs w:val="20"/>
              </w:rPr>
            </w:pPr>
            <w:r>
              <w:rPr>
                <w:b w:val="0"/>
                <w:spacing w:val="-20"/>
                <w:sz w:val="18"/>
                <w:szCs w:val="20"/>
              </w:rPr>
              <w:t>Sailing Centre, Telegraph Road</w:t>
            </w:r>
          </w:p>
        </w:tc>
        <w:tc>
          <w:tcPr>
            <w:tcW w:w="1217" w:type="dxa"/>
          </w:tcPr>
          <w:p w14:paraId="4AAC596C" w14:textId="77777777" w:rsidR="000D6726" w:rsidRPr="00470F03" w:rsidRDefault="000D6726" w:rsidP="000D6726">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470F03">
              <w:rPr>
                <w:sz w:val="18"/>
                <w:szCs w:val="20"/>
              </w:rPr>
              <w:t>13/08/20021</w:t>
            </w:r>
          </w:p>
        </w:tc>
        <w:tc>
          <w:tcPr>
            <w:tcW w:w="1245" w:type="dxa"/>
          </w:tcPr>
          <w:p w14:paraId="50EF595A" w14:textId="77777777" w:rsidR="000D6726" w:rsidRPr="00470F03" w:rsidRDefault="000D6726" w:rsidP="000D6726">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470F03">
              <w:rPr>
                <w:sz w:val="18"/>
                <w:szCs w:val="20"/>
              </w:rPr>
              <w:t>12/09/2021</w:t>
            </w:r>
          </w:p>
        </w:tc>
        <w:tc>
          <w:tcPr>
            <w:tcW w:w="1197" w:type="dxa"/>
          </w:tcPr>
          <w:p w14:paraId="0943B8BA" w14:textId="44DFE212" w:rsidR="000D6726" w:rsidRPr="00470F03" w:rsidRDefault="000D6726" w:rsidP="000D6726">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w:t>
            </w:r>
          </w:p>
        </w:tc>
        <w:tc>
          <w:tcPr>
            <w:tcW w:w="2215" w:type="dxa"/>
          </w:tcPr>
          <w:p w14:paraId="061261AF" w14:textId="3C8A2D9F" w:rsidR="000D6726" w:rsidRPr="00470F03" w:rsidRDefault="000D6726" w:rsidP="000D6726">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w:t>
            </w:r>
          </w:p>
        </w:tc>
      </w:tr>
      <w:tr w:rsidR="000D6726" w:rsidRPr="00470F03" w14:paraId="57208A47" w14:textId="77777777" w:rsidTr="00E70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5" w:type="dxa"/>
          </w:tcPr>
          <w:p w14:paraId="74E4C0F6" w14:textId="36DCF4D7" w:rsidR="000D6726" w:rsidRPr="00470F03" w:rsidRDefault="000D6726" w:rsidP="000D6726">
            <w:pPr>
              <w:pStyle w:val="Committeetemplate"/>
              <w:numPr>
                <w:ilvl w:val="0"/>
                <w:numId w:val="0"/>
              </w:numPr>
              <w:spacing w:line="276" w:lineRule="auto"/>
              <w:rPr>
                <w:b w:val="0"/>
                <w:spacing w:val="-20"/>
                <w:sz w:val="18"/>
                <w:szCs w:val="20"/>
              </w:rPr>
            </w:pPr>
            <w:r>
              <w:rPr>
                <w:b w:val="0"/>
                <w:spacing w:val="-20"/>
                <w:sz w:val="18"/>
                <w:szCs w:val="20"/>
              </w:rPr>
              <w:t>Isles of Scilly Sailing Club, Telegraph Road</w:t>
            </w:r>
          </w:p>
        </w:tc>
        <w:tc>
          <w:tcPr>
            <w:tcW w:w="1217" w:type="dxa"/>
          </w:tcPr>
          <w:p w14:paraId="06CB897E" w14:textId="77777777" w:rsidR="000D6726" w:rsidRPr="00470F03" w:rsidRDefault="000D6726" w:rsidP="000D6726">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20"/>
              </w:rPr>
            </w:pPr>
            <w:r w:rsidRPr="00470F03">
              <w:rPr>
                <w:sz w:val="18"/>
                <w:szCs w:val="20"/>
              </w:rPr>
              <w:t>13/08/20021</w:t>
            </w:r>
          </w:p>
        </w:tc>
        <w:tc>
          <w:tcPr>
            <w:tcW w:w="1245" w:type="dxa"/>
          </w:tcPr>
          <w:p w14:paraId="49665E72" w14:textId="77777777" w:rsidR="000D6726" w:rsidRPr="00470F03" w:rsidRDefault="000D6726" w:rsidP="000D6726">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20"/>
              </w:rPr>
            </w:pPr>
            <w:r w:rsidRPr="00470F03">
              <w:rPr>
                <w:sz w:val="18"/>
                <w:szCs w:val="20"/>
              </w:rPr>
              <w:t>12/09/2021</w:t>
            </w:r>
          </w:p>
        </w:tc>
        <w:tc>
          <w:tcPr>
            <w:tcW w:w="1197" w:type="dxa"/>
          </w:tcPr>
          <w:p w14:paraId="774213AD" w14:textId="09B55E48" w:rsidR="000D6726" w:rsidRPr="00470F03" w:rsidRDefault="000D6726" w:rsidP="000D6726">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20"/>
              </w:rPr>
            </w:pPr>
            <w:r>
              <w:rPr>
                <w:sz w:val="18"/>
                <w:szCs w:val="20"/>
              </w:rPr>
              <w:t>-</w:t>
            </w:r>
          </w:p>
        </w:tc>
        <w:tc>
          <w:tcPr>
            <w:tcW w:w="2215" w:type="dxa"/>
          </w:tcPr>
          <w:p w14:paraId="3CF9D300" w14:textId="188C5E11" w:rsidR="000D6726" w:rsidRPr="00470F03" w:rsidRDefault="000D6726" w:rsidP="000D6726">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20"/>
              </w:rPr>
            </w:pPr>
            <w:r>
              <w:rPr>
                <w:sz w:val="18"/>
                <w:szCs w:val="20"/>
              </w:rPr>
              <w:t>-</w:t>
            </w:r>
          </w:p>
        </w:tc>
      </w:tr>
      <w:tr w:rsidR="000D6726" w:rsidRPr="00470F03" w14:paraId="6E97E0B3" w14:textId="77777777" w:rsidTr="00E7078A">
        <w:tc>
          <w:tcPr>
            <w:cnfStyle w:val="001000000000" w:firstRow="0" w:lastRow="0" w:firstColumn="1" w:lastColumn="0" w:oddVBand="0" w:evenVBand="0" w:oddHBand="0" w:evenHBand="0" w:firstRowFirstColumn="0" w:firstRowLastColumn="0" w:lastRowFirstColumn="0" w:lastRowLastColumn="0"/>
            <w:tcW w:w="2915" w:type="dxa"/>
          </w:tcPr>
          <w:p w14:paraId="1665B97C" w14:textId="1E37ECFA" w:rsidR="000D6726" w:rsidRPr="00470F03" w:rsidRDefault="000D6726" w:rsidP="000D6726">
            <w:pPr>
              <w:pStyle w:val="Committeetemplate"/>
              <w:numPr>
                <w:ilvl w:val="0"/>
                <w:numId w:val="0"/>
              </w:numPr>
              <w:spacing w:line="276" w:lineRule="auto"/>
              <w:rPr>
                <w:b w:val="0"/>
                <w:spacing w:val="-20"/>
                <w:sz w:val="18"/>
                <w:szCs w:val="20"/>
              </w:rPr>
            </w:pPr>
            <w:r>
              <w:rPr>
                <w:b w:val="0"/>
                <w:spacing w:val="-20"/>
                <w:sz w:val="18"/>
                <w:szCs w:val="20"/>
              </w:rPr>
              <w:t>Isles of Scilly Boat Company, Telegraph Road</w:t>
            </w:r>
          </w:p>
        </w:tc>
        <w:tc>
          <w:tcPr>
            <w:tcW w:w="1217" w:type="dxa"/>
          </w:tcPr>
          <w:p w14:paraId="57898EE8" w14:textId="77777777" w:rsidR="000D6726" w:rsidRPr="00470F03" w:rsidRDefault="000D6726" w:rsidP="000D6726">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470F03">
              <w:rPr>
                <w:sz w:val="18"/>
                <w:szCs w:val="20"/>
              </w:rPr>
              <w:t>13/08/20021</w:t>
            </w:r>
          </w:p>
        </w:tc>
        <w:tc>
          <w:tcPr>
            <w:tcW w:w="1245" w:type="dxa"/>
          </w:tcPr>
          <w:p w14:paraId="533C3159" w14:textId="77777777" w:rsidR="000D6726" w:rsidRPr="00470F03" w:rsidRDefault="000D6726" w:rsidP="000D6726">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470F03">
              <w:rPr>
                <w:sz w:val="18"/>
                <w:szCs w:val="20"/>
              </w:rPr>
              <w:t>12/09/2021</w:t>
            </w:r>
          </w:p>
        </w:tc>
        <w:tc>
          <w:tcPr>
            <w:tcW w:w="1197" w:type="dxa"/>
          </w:tcPr>
          <w:p w14:paraId="473DFFB8" w14:textId="3F714923" w:rsidR="000D6726" w:rsidRPr="00470F03" w:rsidRDefault="000D6726" w:rsidP="000D6726">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w:t>
            </w:r>
          </w:p>
        </w:tc>
        <w:tc>
          <w:tcPr>
            <w:tcW w:w="2215" w:type="dxa"/>
          </w:tcPr>
          <w:p w14:paraId="30880E43" w14:textId="0B7DB25B" w:rsidR="000D6726" w:rsidRPr="00470F03" w:rsidRDefault="000D6726" w:rsidP="000D6726">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w:t>
            </w:r>
          </w:p>
        </w:tc>
      </w:tr>
      <w:tr w:rsidR="000D6726" w:rsidRPr="00470F03" w14:paraId="081524BF" w14:textId="77777777" w:rsidTr="00E70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5" w:type="dxa"/>
          </w:tcPr>
          <w:p w14:paraId="5394345A" w14:textId="75702E01" w:rsidR="000D6726" w:rsidRPr="00470F03" w:rsidRDefault="000D6726" w:rsidP="000D6726">
            <w:pPr>
              <w:pStyle w:val="Committeetemplate"/>
              <w:numPr>
                <w:ilvl w:val="0"/>
                <w:numId w:val="0"/>
              </w:numPr>
              <w:spacing w:line="276" w:lineRule="auto"/>
              <w:rPr>
                <w:b w:val="0"/>
                <w:spacing w:val="-20"/>
                <w:sz w:val="18"/>
                <w:szCs w:val="20"/>
              </w:rPr>
            </w:pPr>
            <w:r>
              <w:rPr>
                <w:b w:val="0"/>
                <w:spacing w:val="-20"/>
                <w:sz w:val="18"/>
                <w:szCs w:val="20"/>
              </w:rPr>
              <w:t>Porthmellon Cottage, Telegraph Road</w:t>
            </w:r>
          </w:p>
        </w:tc>
        <w:tc>
          <w:tcPr>
            <w:tcW w:w="1217" w:type="dxa"/>
          </w:tcPr>
          <w:p w14:paraId="77A94E50" w14:textId="77777777" w:rsidR="000D6726" w:rsidRPr="00470F03" w:rsidRDefault="000D6726" w:rsidP="000D6726">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20"/>
              </w:rPr>
            </w:pPr>
            <w:r w:rsidRPr="00470F03">
              <w:rPr>
                <w:sz w:val="18"/>
                <w:szCs w:val="20"/>
              </w:rPr>
              <w:t>13/08/20021</w:t>
            </w:r>
          </w:p>
        </w:tc>
        <w:tc>
          <w:tcPr>
            <w:tcW w:w="1245" w:type="dxa"/>
          </w:tcPr>
          <w:p w14:paraId="352E494D" w14:textId="77777777" w:rsidR="000D6726" w:rsidRPr="00470F03" w:rsidRDefault="000D6726" w:rsidP="000D6726">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20"/>
              </w:rPr>
            </w:pPr>
            <w:r w:rsidRPr="00470F03">
              <w:rPr>
                <w:sz w:val="18"/>
                <w:szCs w:val="20"/>
              </w:rPr>
              <w:t>12/09/2021</w:t>
            </w:r>
          </w:p>
        </w:tc>
        <w:tc>
          <w:tcPr>
            <w:tcW w:w="1197" w:type="dxa"/>
          </w:tcPr>
          <w:p w14:paraId="4BBEDABA" w14:textId="7B49A82E" w:rsidR="000D6726" w:rsidRPr="00470F03" w:rsidRDefault="000D6726" w:rsidP="000D6726">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20"/>
              </w:rPr>
            </w:pPr>
            <w:r>
              <w:rPr>
                <w:sz w:val="18"/>
                <w:szCs w:val="20"/>
              </w:rPr>
              <w:t>-</w:t>
            </w:r>
          </w:p>
        </w:tc>
        <w:tc>
          <w:tcPr>
            <w:tcW w:w="2215" w:type="dxa"/>
          </w:tcPr>
          <w:p w14:paraId="73D9DD8B" w14:textId="6C778F3C" w:rsidR="000D6726" w:rsidRPr="00470F03" w:rsidRDefault="000D6726" w:rsidP="000D6726">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20"/>
              </w:rPr>
            </w:pPr>
            <w:r>
              <w:rPr>
                <w:sz w:val="18"/>
                <w:szCs w:val="20"/>
              </w:rPr>
              <w:t>-</w:t>
            </w:r>
          </w:p>
        </w:tc>
      </w:tr>
      <w:tr w:rsidR="000D6726" w:rsidRPr="00470F03" w14:paraId="0FBF7309" w14:textId="77777777" w:rsidTr="00E7078A">
        <w:tc>
          <w:tcPr>
            <w:cnfStyle w:val="001000000000" w:firstRow="0" w:lastRow="0" w:firstColumn="1" w:lastColumn="0" w:oddVBand="0" w:evenVBand="0" w:oddHBand="0" w:evenHBand="0" w:firstRowFirstColumn="0" w:firstRowLastColumn="0" w:lastRowFirstColumn="0" w:lastRowLastColumn="0"/>
            <w:tcW w:w="2915" w:type="dxa"/>
          </w:tcPr>
          <w:p w14:paraId="212236D2" w14:textId="66C5FA16" w:rsidR="000D6726" w:rsidRDefault="000D6726" w:rsidP="000D6726">
            <w:pPr>
              <w:pStyle w:val="Committeetemplate"/>
              <w:numPr>
                <w:ilvl w:val="0"/>
                <w:numId w:val="0"/>
              </w:numPr>
              <w:spacing w:line="276" w:lineRule="auto"/>
              <w:rPr>
                <w:b w:val="0"/>
                <w:spacing w:val="-20"/>
                <w:sz w:val="18"/>
                <w:szCs w:val="20"/>
              </w:rPr>
            </w:pPr>
            <w:r>
              <w:rPr>
                <w:b w:val="0"/>
                <w:spacing w:val="-20"/>
                <w:sz w:val="18"/>
                <w:szCs w:val="20"/>
              </w:rPr>
              <w:t>Turnstone, Telegraph Road</w:t>
            </w:r>
          </w:p>
        </w:tc>
        <w:tc>
          <w:tcPr>
            <w:tcW w:w="1217" w:type="dxa"/>
          </w:tcPr>
          <w:p w14:paraId="389DDEBF" w14:textId="4116A49C" w:rsidR="000D6726" w:rsidRPr="00470F03" w:rsidRDefault="000D6726" w:rsidP="000D6726">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470F03">
              <w:rPr>
                <w:sz w:val="18"/>
                <w:szCs w:val="20"/>
              </w:rPr>
              <w:t>13/08/20021</w:t>
            </w:r>
          </w:p>
        </w:tc>
        <w:tc>
          <w:tcPr>
            <w:tcW w:w="1245" w:type="dxa"/>
          </w:tcPr>
          <w:p w14:paraId="1B7711AB" w14:textId="1CB5C90B" w:rsidR="000D6726" w:rsidRPr="00470F03" w:rsidRDefault="000D6726" w:rsidP="000D6726">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470F03">
              <w:rPr>
                <w:sz w:val="18"/>
                <w:szCs w:val="20"/>
              </w:rPr>
              <w:t>12/09/2021</w:t>
            </w:r>
          </w:p>
        </w:tc>
        <w:tc>
          <w:tcPr>
            <w:tcW w:w="1197" w:type="dxa"/>
          </w:tcPr>
          <w:p w14:paraId="41ED7D26" w14:textId="41BED55A" w:rsidR="000D6726" w:rsidRDefault="000D6726" w:rsidP="000D6726">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w:t>
            </w:r>
          </w:p>
        </w:tc>
        <w:tc>
          <w:tcPr>
            <w:tcW w:w="2215" w:type="dxa"/>
          </w:tcPr>
          <w:p w14:paraId="4EE70534" w14:textId="510BAE8B" w:rsidR="000D6726" w:rsidRDefault="000D6726" w:rsidP="000D6726">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w:t>
            </w:r>
          </w:p>
        </w:tc>
      </w:tr>
      <w:tr w:rsidR="000D6726" w:rsidRPr="00470F03" w14:paraId="79F86D2E" w14:textId="77777777" w:rsidTr="00E70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5" w:type="dxa"/>
          </w:tcPr>
          <w:p w14:paraId="32593BFA" w14:textId="6D9773D4" w:rsidR="000D6726" w:rsidRDefault="000D6726" w:rsidP="000D6726">
            <w:pPr>
              <w:pStyle w:val="Committeetemplate"/>
              <w:numPr>
                <w:ilvl w:val="0"/>
                <w:numId w:val="0"/>
              </w:numPr>
              <w:spacing w:line="276" w:lineRule="auto"/>
              <w:rPr>
                <w:b w:val="0"/>
                <w:spacing w:val="-20"/>
                <w:sz w:val="18"/>
                <w:szCs w:val="20"/>
              </w:rPr>
            </w:pPr>
            <w:r>
              <w:rPr>
                <w:b w:val="0"/>
                <w:spacing w:val="-20"/>
                <w:sz w:val="18"/>
                <w:szCs w:val="20"/>
              </w:rPr>
              <w:t>Teeki, Telegraph Road</w:t>
            </w:r>
          </w:p>
        </w:tc>
        <w:tc>
          <w:tcPr>
            <w:tcW w:w="1217" w:type="dxa"/>
          </w:tcPr>
          <w:p w14:paraId="245EBDF0" w14:textId="04EE72B5" w:rsidR="000D6726" w:rsidRPr="00470F03" w:rsidRDefault="000D6726" w:rsidP="000D6726">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20"/>
              </w:rPr>
            </w:pPr>
            <w:r w:rsidRPr="00470F03">
              <w:rPr>
                <w:sz w:val="18"/>
                <w:szCs w:val="20"/>
              </w:rPr>
              <w:t>13/08/20021</w:t>
            </w:r>
          </w:p>
        </w:tc>
        <w:tc>
          <w:tcPr>
            <w:tcW w:w="1245" w:type="dxa"/>
          </w:tcPr>
          <w:p w14:paraId="61A96B0A" w14:textId="4AB336B6" w:rsidR="000D6726" w:rsidRPr="00470F03" w:rsidRDefault="000D6726" w:rsidP="000D6726">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20"/>
              </w:rPr>
            </w:pPr>
            <w:r w:rsidRPr="00470F03">
              <w:rPr>
                <w:sz w:val="18"/>
                <w:szCs w:val="20"/>
              </w:rPr>
              <w:t>12/09/2021</w:t>
            </w:r>
          </w:p>
        </w:tc>
        <w:tc>
          <w:tcPr>
            <w:tcW w:w="1197" w:type="dxa"/>
          </w:tcPr>
          <w:p w14:paraId="3B7C4A15" w14:textId="4833E3F6" w:rsidR="000D6726" w:rsidRDefault="000D6726" w:rsidP="000D6726">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20"/>
              </w:rPr>
            </w:pPr>
            <w:r>
              <w:rPr>
                <w:sz w:val="18"/>
                <w:szCs w:val="20"/>
              </w:rPr>
              <w:t>-</w:t>
            </w:r>
          </w:p>
        </w:tc>
        <w:tc>
          <w:tcPr>
            <w:tcW w:w="2215" w:type="dxa"/>
          </w:tcPr>
          <w:p w14:paraId="2A32CD3D" w14:textId="09BD2990" w:rsidR="000D6726" w:rsidRDefault="000D6726" w:rsidP="000D6726">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20"/>
              </w:rPr>
            </w:pPr>
            <w:r>
              <w:rPr>
                <w:sz w:val="18"/>
                <w:szCs w:val="20"/>
              </w:rPr>
              <w:t>-</w:t>
            </w:r>
          </w:p>
        </w:tc>
      </w:tr>
      <w:tr w:rsidR="000D6726" w:rsidRPr="00470F03" w14:paraId="1AB8701D" w14:textId="77777777" w:rsidTr="00E7078A">
        <w:tc>
          <w:tcPr>
            <w:cnfStyle w:val="001000000000" w:firstRow="0" w:lastRow="0" w:firstColumn="1" w:lastColumn="0" w:oddVBand="0" w:evenVBand="0" w:oddHBand="0" w:evenHBand="0" w:firstRowFirstColumn="0" w:firstRowLastColumn="0" w:lastRowFirstColumn="0" w:lastRowLastColumn="0"/>
            <w:tcW w:w="2915" w:type="dxa"/>
          </w:tcPr>
          <w:p w14:paraId="5B27DFDE" w14:textId="5A83AA0E" w:rsidR="000D6726" w:rsidRDefault="000D6726" w:rsidP="000D6726">
            <w:pPr>
              <w:pStyle w:val="Committeetemplate"/>
              <w:numPr>
                <w:ilvl w:val="0"/>
                <w:numId w:val="0"/>
              </w:numPr>
              <w:spacing w:line="276" w:lineRule="auto"/>
              <w:rPr>
                <w:b w:val="0"/>
                <w:spacing w:val="-20"/>
                <w:sz w:val="18"/>
                <w:szCs w:val="20"/>
              </w:rPr>
            </w:pPr>
            <w:r>
              <w:rPr>
                <w:b w:val="0"/>
                <w:spacing w:val="-20"/>
                <w:sz w:val="18"/>
                <w:szCs w:val="20"/>
              </w:rPr>
              <w:t>The White Gallery, 20A Porthmellon Industrial Estate</w:t>
            </w:r>
          </w:p>
        </w:tc>
        <w:tc>
          <w:tcPr>
            <w:tcW w:w="1217" w:type="dxa"/>
          </w:tcPr>
          <w:p w14:paraId="23C43C2A" w14:textId="5846BD5B" w:rsidR="000D6726" w:rsidRPr="00470F03" w:rsidRDefault="000D6726" w:rsidP="000D6726">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470F03">
              <w:rPr>
                <w:sz w:val="18"/>
                <w:szCs w:val="20"/>
              </w:rPr>
              <w:t>13/08/20021</w:t>
            </w:r>
          </w:p>
        </w:tc>
        <w:tc>
          <w:tcPr>
            <w:tcW w:w="1245" w:type="dxa"/>
          </w:tcPr>
          <w:p w14:paraId="3A44DC0B" w14:textId="2CDB32B6" w:rsidR="000D6726" w:rsidRPr="00470F03" w:rsidRDefault="000D6726" w:rsidP="000D6726">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470F03">
              <w:rPr>
                <w:sz w:val="18"/>
                <w:szCs w:val="20"/>
              </w:rPr>
              <w:t>12/09/2021</w:t>
            </w:r>
          </w:p>
        </w:tc>
        <w:tc>
          <w:tcPr>
            <w:tcW w:w="1197" w:type="dxa"/>
          </w:tcPr>
          <w:p w14:paraId="7EBA6217" w14:textId="38F040F2" w:rsidR="000D6726" w:rsidRDefault="000D6726" w:rsidP="000D6726">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w:t>
            </w:r>
          </w:p>
        </w:tc>
        <w:tc>
          <w:tcPr>
            <w:tcW w:w="2215" w:type="dxa"/>
          </w:tcPr>
          <w:p w14:paraId="4F52133A" w14:textId="73F85043" w:rsidR="000D6726" w:rsidRDefault="000D6726" w:rsidP="000D6726">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w:t>
            </w:r>
          </w:p>
        </w:tc>
      </w:tr>
      <w:tr w:rsidR="000D6726" w:rsidRPr="00470F03" w14:paraId="29D165AA" w14:textId="77777777" w:rsidTr="00E70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5" w:type="dxa"/>
          </w:tcPr>
          <w:p w14:paraId="7EAF8842" w14:textId="449638F2" w:rsidR="000D6726" w:rsidRDefault="000D6726" w:rsidP="000D6726">
            <w:pPr>
              <w:pStyle w:val="Committeetemplate"/>
              <w:numPr>
                <w:ilvl w:val="0"/>
                <w:numId w:val="0"/>
              </w:numPr>
              <w:spacing w:line="276" w:lineRule="auto"/>
              <w:rPr>
                <w:b w:val="0"/>
                <w:spacing w:val="-20"/>
                <w:sz w:val="18"/>
                <w:szCs w:val="20"/>
              </w:rPr>
            </w:pPr>
            <w:r>
              <w:rPr>
                <w:b w:val="0"/>
                <w:spacing w:val="-20"/>
                <w:sz w:val="18"/>
                <w:szCs w:val="20"/>
              </w:rPr>
              <w:t>Sibleys, Unit 5 28-29 Porthmellon Industrial Estate</w:t>
            </w:r>
          </w:p>
        </w:tc>
        <w:tc>
          <w:tcPr>
            <w:tcW w:w="1217" w:type="dxa"/>
          </w:tcPr>
          <w:p w14:paraId="2F0B36E7" w14:textId="7035441C" w:rsidR="000D6726" w:rsidRPr="00470F03" w:rsidRDefault="000D6726" w:rsidP="000D6726">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20"/>
              </w:rPr>
            </w:pPr>
            <w:r w:rsidRPr="00470F03">
              <w:rPr>
                <w:sz w:val="18"/>
                <w:szCs w:val="20"/>
              </w:rPr>
              <w:t>13/08/20021</w:t>
            </w:r>
          </w:p>
        </w:tc>
        <w:tc>
          <w:tcPr>
            <w:tcW w:w="1245" w:type="dxa"/>
          </w:tcPr>
          <w:p w14:paraId="5C45F72F" w14:textId="4682D7C3" w:rsidR="000D6726" w:rsidRPr="00470F03" w:rsidRDefault="000D6726" w:rsidP="000D6726">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20"/>
              </w:rPr>
            </w:pPr>
            <w:r w:rsidRPr="00470F03">
              <w:rPr>
                <w:sz w:val="18"/>
                <w:szCs w:val="20"/>
              </w:rPr>
              <w:t>12/09/2021</w:t>
            </w:r>
          </w:p>
        </w:tc>
        <w:tc>
          <w:tcPr>
            <w:tcW w:w="1197" w:type="dxa"/>
          </w:tcPr>
          <w:p w14:paraId="0328B9EB" w14:textId="182C1E11" w:rsidR="000D6726" w:rsidRDefault="000D6726" w:rsidP="000D6726">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20"/>
              </w:rPr>
            </w:pPr>
            <w:r>
              <w:rPr>
                <w:sz w:val="18"/>
                <w:szCs w:val="20"/>
              </w:rPr>
              <w:t>-</w:t>
            </w:r>
          </w:p>
        </w:tc>
        <w:tc>
          <w:tcPr>
            <w:tcW w:w="2215" w:type="dxa"/>
          </w:tcPr>
          <w:p w14:paraId="4C7118CE" w14:textId="6F8A323D" w:rsidR="000D6726" w:rsidRDefault="000D6726" w:rsidP="000D6726">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20"/>
              </w:rPr>
            </w:pPr>
            <w:r>
              <w:rPr>
                <w:sz w:val="18"/>
                <w:szCs w:val="20"/>
              </w:rPr>
              <w:t>-</w:t>
            </w:r>
          </w:p>
        </w:tc>
      </w:tr>
      <w:tr w:rsidR="000D6726" w:rsidRPr="00470F03" w14:paraId="65095784" w14:textId="77777777" w:rsidTr="00E7078A">
        <w:tc>
          <w:tcPr>
            <w:cnfStyle w:val="001000000000" w:firstRow="0" w:lastRow="0" w:firstColumn="1" w:lastColumn="0" w:oddVBand="0" w:evenVBand="0" w:oddHBand="0" w:evenHBand="0" w:firstRowFirstColumn="0" w:firstRowLastColumn="0" w:lastRowFirstColumn="0" w:lastRowLastColumn="0"/>
            <w:tcW w:w="2915" w:type="dxa"/>
          </w:tcPr>
          <w:p w14:paraId="143035F7" w14:textId="77777777" w:rsidR="000D6726" w:rsidRPr="00391857" w:rsidRDefault="000D6726" w:rsidP="000D6726">
            <w:pPr>
              <w:pStyle w:val="Committeetemplate"/>
              <w:numPr>
                <w:ilvl w:val="0"/>
                <w:numId w:val="0"/>
              </w:numPr>
              <w:spacing w:line="276" w:lineRule="auto"/>
              <w:rPr>
                <w:b w:val="0"/>
                <w:spacing w:val="-20"/>
                <w:sz w:val="18"/>
                <w:szCs w:val="20"/>
              </w:rPr>
            </w:pPr>
            <w:r w:rsidRPr="00391857">
              <w:rPr>
                <w:b w:val="0"/>
                <w:spacing w:val="-20"/>
                <w:sz w:val="18"/>
                <w:szCs w:val="20"/>
              </w:rPr>
              <w:t>KOR Electrical Unit 4</w:t>
            </w:r>
          </w:p>
          <w:p w14:paraId="37FBEBBB" w14:textId="18930D1D" w:rsidR="000D6726" w:rsidRDefault="000D6726" w:rsidP="000D6726">
            <w:pPr>
              <w:pStyle w:val="Committeetemplate"/>
              <w:numPr>
                <w:ilvl w:val="0"/>
                <w:numId w:val="0"/>
              </w:numPr>
              <w:spacing w:line="276" w:lineRule="auto"/>
              <w:rPr>
                <w:b w:val="0"/>
                <w:spacing w:val="-20"/>
                <w:sz w:val="18"/>
                <w:szCs w:val="20"/>
              </w:rPr>
            </w:pPr>
            <w:r w:rsidRPr="00391857">
              <w:rPr>
                <w:b w:val="0"/>
                <w:spacing w:val="-20"/>
                <w:sz w:val="18"/>
                <w:szCs w:val="20"/>
              </w:rPr>
              <w:t>28 - 29 Porthmellon Industrial Estate</w:t>
            </w:r>
          </w:p>
        </w:tc>
        <w:tc>
          <w:tcPr>
            <w:tcW w:w="1217" w:type="dxa"/>
          </w:tcPr>
          <w:p w14:paraId="568F2539" w14:textId="249C3BC4" w:rsidR="000D6726" w:rsidRPr="00470F03" w:rsidRDefault="000D6726" w:rsidP="000D6726">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470F03">
              <w:rPr>
                <w:sz w:val="18"/>
                <w:szCs w:val="20"/>
              </w:rPr>
              <w:t>13/08/20021</w:t>
            </w:r>
          </w:p>
        </w:tc>
        <w:tc>
          <w:tcPr>
            <w:tcW w:w="1245" w:type="dxa"/>
          </w:tcPr>
          <w:p w14:paraId="4C93CFB4" w14:textId="18ADA592" w:rsidR="000D6726" w:rsidRPr="00470F03" w:rsidRDefault="000D6726" w:rsidP="000D6726">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470F03">
              <w:rPr>
                <w:sz w:val="18"/>
                <w:szCs w:val="20"/>
              </w:rPr>
              <w:t>12/09/2021</w:t>
            </w:r>
          </w:p>
        </w:tc>
        <w:tc>
          <w:tcPr>
            <w:tcW w:w="1197" w:type="dxa"/>
          </w:tcPr>
          <w:p w14:paraId="5D93F79E" w14:textId="23B6339D" w:rsidR="000D6726" w:rsidRDefault="000D6726" w:rsidP="000D6726">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w:t>
            </w:r>
          </w:p>
        </w:tc>
        <w:tc>
          <w:tcPr>
            <w:tcW w:w="2215" w:type="dxa"/>
          </w:tcPr>
          <w:p w14:paraId="108F5054" w14:textId="1FE6E5C7" w:rsidR="000D6726" w:rsidRDefault="000D6726" w:rsidP="000D6726">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w:t>
            </w:r>
          </w:p>
        </w:tc>
      </w:tr>
      <w:tr w:rsidR="000D6726" w:rsidRPr="00391857" w14:paraId="1D138FD1" w14:textId="77777777" w:rsidTr="00E70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5" w:type="dxa"/>
          </w:tcPr>
          <w:p w14:paraId="41242959" w14:textId="77777777" w:rsidR="000D6726" w:rsidRPr="00391857" w:rsidRDefault="000D6726" w:rsidP="000D6726">
            <w:pPr>
              <w:pStyle w:val="Committeetemplate"/>
              <w:numPr>
                <w:ilvl w:val="0"/>
                <w:numId w:val="0"/>
              </w:numPr>
              <w:spacing w:line="276" w:lineRule="auto"/>
              <w:rPr>
                <w:b w:val="0"/>
                <w:bCs w:val="0"/>
                <w:spacing w:val="-20"/>
                <w:sz w:val="18"/>
                <w:szCs w:val="20"/>
              </w:rPr>
            </w:pPr>
            <w:r w:rsidRPr="00391857">
              <w:rPr>
                <w:b w:val="0"/>
                <w:bCs w:val="0"/>
                <w:spacing w:val="-20"/>
                <w:sz w:val="18"/>
                <w:szCs w:val="20"/>
              </w:rPr>
              <w:t>MCGA Units 2 To 3</w:t>
            </w:r>
          </w:p>
          <w:p w14:paraId="1D2CB386" w14:textId="23531CAA" w:rsidR="000D6726" w:rsidRPr="00391857" w:rsidRDefault="000D6726" w:rsidP="000D6726">
            <w:pPr>
              <w:pStyle w:val="Committeetemplate"/>
              <w:numPr>
                <w:ilvl w:val="0"/>
                <w:numId w:val="0"/>
              </w:numPr>
              <w:spacing w:line="276" w:lineRule="auto"/>
              <w:rPr>
                <w:b w:val="0"/>
                <w:bCs w:val="0"/>
                <w:spacing w:val="-20"/>
                <w:sz w:val="18"/>
                <w:szCs w:val="20"/>
              </w:rPr>
            </w:pPr>
            <w:r w:rsidRPr="00391857">
              <w:rPr>
                <w:b w:val="0"/>
                <w:bCs w:val="0"/>
                <w:spacing w:val="-20"/>
                <w:sz w:val="18"/>
                <w:szCs w:val="20"/>
              </w:rPr>
              <w:t>28 - 29 Porthmellon Industrial Estate</w:t>
            </w:r>
          </w:p>
        </w:tc>
        <w:tc>
          <w:tcPr>
            <w:tcW w:w="1217" w:type="dxa"/>
          </w:tcPr>
          <w:p w14:paraId="56EFE8A1" w14:textId="58B5A3EF" w:rsidR="000D6726" w:rsidRPr="00391857" w:rsidRDefault="000D6726" w:rsidP="000D6726">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20"/>
              </w:rPr>
            </w:pPr>
            <w:r w:rsidRPr="00470F03">
              <w:rPr>
                <w:sz w:val="18"/>
                <w:szCs w:val="20"/>
              </w:rPr>
              <w:t>13/08/20021</w:t>
            </w:r>
          </w:p>
        </w:tc>
        <w:tc>
          <w:tcPr>
            <w:tcW w:w="1245" w:type="dxa"/>
          </w:tcPr>
          <w:p w14:paraId="4CBC573B" w14:textId="4B5EF61E" w:rsidR="000D6726" w:rsidRPr="00391857" w:rsidRDefault="000D6726" w:rsidP="000D6726">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20"/>
              </w:rPr>
            </w:pPr>
            <w:r w:rsidRPr="00470F03">
              <w:rPr>
                <w:sz w:val="18"/>
                <w:szCs w:val="20"/>
              </w:rPr>
              <w:t>12/09/2021</w:t>
            </w:r>
          </w:p>
        </w:tc>
        <w:tc>
          <w:tcPr>
            <w:tcW w:w="1197" w:type="dxa"/>
          </w:tcPr>
          <w:p w14:paraId="706B5E1A" w14:textId="7809D1AA" w:rsidR="000D6726" w:rsidRPr="00391857" w:rsidRDefault="000D6726" w:rsidP="000D6726">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20"/>
              </w:rPr>
            </w:pPr>
            <w:r>
              <w:rPr>
                <w:sz w:val="18"/>
                <w:szCs w:val="20"/>
              </w:rPr>
              <w:t>-</w:t>
            </w:r>
          </w:p>
        </w:tc>
        <w:tc>
          <w:tcPr>
            <w:tcW w:w="2215" w:type="dxa"/>
          </w:tcPr>
          <w:p w14:paraId="62060C52" w14:textId="2BBD66D0" w:rsidR="000D6726" w:rsidRPr="00391857" w:rsidRDefault="000D6726" w:rsidP="000D6726">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20"/>
              </w:rPr>
            </w:pPr>
            <w:r>
              <w:rPr>
                <w:sz w:val="18"/>
                <w:szCs w:val="20"/>
              </w:rPr>
              <w:t>-</w:t>
            </w:r>
          </w:p>
        </w:tc>
      </w:tr>
      <w:tr w:rsidR="000D6726" w:rsidRPr="00391857" w14:paraId="2C745EB9" w14:textId="77777777" w:rsidTr="00E7078A">
        <w:tc>
          <w:tcPr>
            <w:cnfStyle w:val="001000000000" w:firstRow="0" w:lastRow="0" w:firstColumn="1" w:lastColumn="0" w:oddVBand="0" w:evenVBand="0" w:oddHBand="0" w:evenHBand="0" w:firstRowFirstColumn="0" w:firstRowLastColumn="0" w:lastRowFirstColumn="0" w:lastRowLastColumn="0"/>
            <w:tcW w:w="2915" w:type="dxa"/>
          </w:tcPr>
          <w:p w14:paraId="698D1721" w14:textId="41783F22" w:rsidR="000D6726" w:rsidRPr="00391857" w:rsidRDefault="000D6726" w:rsidP="000D6726">
            <w:pPr>
              <w:pStyle w:val="Committeetemplate"/>
              <w:numPr>
                <w:ilvl w:val="0"/>
                <w:numId w:val="0"/>
              </w:numPr>
              <w:spacing w:line="276" w:lineRule="auto"/>
              <w:rPr>
                <w:b w:val="0"/>
                <w:bCs w:val="0"/>
                <w:spacing w:val="-20"/>
                <w:sz w:val="18"/>
                <w:szCs w:val="20"/>
              </w:rPr>
            </w:pPr>
            <w:r w:rsidRPr="00391857">
              <w:rPr>
                <w:b w:val="0"/>
                <w:bCs w:val="0"/>
                <w:spacing w:val="-20"/>
                <w:sz w:val="18"/>
                <w:szCs w:val="20"/>
              </w:rPr>
              <w:t>28 - 29 Porthmellon Industrial Estate</w:t>
            </w:r>
          </w:p>
        </w:tc>
        <w:tc>
          <w:tcPr>
            <w:tcW w:w="1217" w:type="dxa"/>
          </w:tcPr>
          <w:p w14:paraId="64BD3403" w14:textId="1514C520" w:rsidR="000D6726" w:rsidRPr="00391857" w:rsidRDefault="000D6726" w:rsidP="000D6726">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470F03">
              <w:rPr>
                <w:sz w:val="18"/>
                <w:szCs w:val="20"/>
              </w:rPr>
              <w:t>13/08/20021</w:t>
            </w:r>
          </w:p>
        </w:tc>
        <w:tc>
          <w:tcPr>
            <w:tcW w:w="1245" w:type="dxa"/>
          </w:tcPr>
          <w:p w14:paraId="49814DED" w14:textId="58DB2980" w:rsidR="000D6726" w:rsidRPr="00391857" w:rsidRDefault="000D6726" w:rsidP="000D6726">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470F03">
              <w:rPr>
                <w:sz w:val="18"/>
                <w:szCs w:val="20"/>
              </w:rPr>
              <w:t>12/09/2021</w:t>
            </w:r>
          </w:p>
        </w:tc>
        <w:tc>
          <w:tcPr>
            <w:tcW w:w="1197" w:type="dxa"/>
          </w:tcPr>
          <w:p w14:paraId="00975A16" w14:textId="1C1DFD60" w:rsidR="000D6726" w:rsidRPr="00391857" w:rsidRDefault="000D6726" w:rsidP="000D6726">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w:t>
            </w:r>
          </w:p>
        </w:tc>
        <w:tc>
          <w:tcPr>
            <w:tcW w:w="2215" w:type="dxa"/>
          </w:tcPr>
          <w:p w14:paraId="4967C16D" w14:textId="458E0E1D" w:rsidR="000D6726" w:rsidRPr="00391857" w:rsidRDefault="000D6726" w:rsidP="000D6726">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w:t>
            </w:r>
          </w:p>
        </w:tc>
      </w:tr>
      <w:tr w:rsidR="000D6726" w:rsidRPr="00391857" w14:paraId="75A9025E" w14:textId="77777777" w:rsidTr="00E70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5" w:type="dxa"/>
          </w:tcPr>
          <w:p w14:paraId="63EF46F5" w14:textId="41FD0C3B" w:rsidR="000D6726" w:rsidRPr="00391857" w:rsidRDefault="000D6726" w:rsidP="000D6726">
            <w:pPr>
              <w:pStyle w:val="Committeetemplate"/>
              <w:numPr>
                <w:ilvl w:val="0"/>
                <w:numId w:val="0"/>
              </w:numPr>
              <w:spacing w:line="276" w:lineRule="auto"/>
              <w:rPr>
                <w:b w:val="0"/>
                <w:bCs w:val="0"/>
                <w:spacing w:val="-20"/>
                <w:sz w:val="18"/>
                <w:szCs w:val="20"/>
              </w:rPr>
            </w:pPr>
            <w:r w:rsidRPr="00391857">
              <w:rPr>
                <w:b w:val="0"/>
                <w:bCs w:val="0"/>
                <w:spacing w:val="-20"/>
                <w:sz w:val="18"/>
                <w:szCs w:val="20"/>
              </w:rPr>
              <w:t>6B Bay View Terrace</w:t>
            </w:r>
          </w:p>
        </w:tc>
        <w:tc>
          <w:tcPr>
            <w:tcW w:w="1217" w:type="dxa"/>
          </w:tcPr>
          <w:p w14:paraId="6D8223B5" w14:textId="6AD3FB46" w:rsidR="000D6726" w:rsidRPr="00391857" w:rsidRDefault="000D6726" w:rsidP="000D6726">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20"/>
              </w:rPr>
            </w:pPr>
            <w:r w:rsidRPr="00470F03">
              <w:rPr>
                <w:sz w:val="18"/>
                <w:szCs w:val="20"/>
              </w:rPr>
              <w:t>13/08/20021</w:t>
            </w:r>
          </w:p>
        </w:tc>
        <w:tc>
          <w:tcPr>
            <w:tcW w:w="1245" w:type="dxa"/>
          </w:tcPr>
          <w:p w14:paraId="34A0B683" w14:textId="615B9C39" w:rsidR="000D6726" w:rsidRPr="00391857" w:rsidRDefault="000D6726" w:rsidP="000D6726">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20"/>
              </w:rPr>
            </w:pPr>
            <w:r w:rsidRPr="00470F03">
              <w:rPr>
                <w:sz w:val="18"/>
                <w:szCs w:val="20"/>
              </w:rPr>
              <w:t>12/09/2021</w:t>
            </w:r>
          </w:p>
        </w:tc>
        <w:tc>
          <w:tcPr>
            <w:tcW w:w="1197" w:type="dxa"/>
          </w:tcPr>
          <w:p w14:paraId="14869ED4" w14:textId="75C037E3" w:rsidR="000D6726" w:rsidRPr="00391857" w:rsidRDefault="000D6726" w:rsidP="000D6726">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20"/>
              </w:rPr>
            </w:pPr>
            <w:r>
              <w:rPr>
                <w:sz w:val="18"/>
                <w:szCs w:val="20"/>
              </w:rPr>
              <w:t>-</w:t>
            </w:r>
          </w:p>
        </w:tc>
        <w:tc>
          <w:tcPr>
            <w:tcW w:w="2215" w:type="dxa"/>
          </w:tcPr>
          <w:p w14:paraId="0B87D953" w14:textId="6A2CF8FF" w:rsidR="000D6726" w:rsidRPr="00391857" w:rsidRDefault="000D6726" w:rsidP="000D6726">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20"/>
              </w:rPr>
            </w:pPr>
            <w:r>
              <w:rPr>
                <w:sz w:val="18"/>
                <w:szCs w:val="20"/>
              </w:rPr>
              <w:t>-</w:t>
            </w:r>
          </w:p>
        </w:tc>
      </w:tr>
      <w:tr w:rsidR="000D6726" w:rsidRPr="00391857" w14:paraId="529BDE0A" w14:textId="77777777" w:rsidTr="00E7078A">
        <w:tc>
          <w:tcPr>
            <w:cnfStyle w:val="001000000000" w:firstRow="0" w:lastRow="0" w:firstColumn="1" w:lastColumn="0" w:oddVBand="0" w:evenVBand="0" w:oddHBand="0" w:evenHBand="0" w:firstRowFirstColumn="0" w:firstRowLastColumn="0" w:lastRowFirstColumn="0" w:lastRowLastColumn="0"/>
            <w:tcW w:w="2915" w:type="dxa"/>
          </w:tcPr>
          <w:p w14:paraId="73B81250" w14:textId="4848FD70" w:rsidR="000D6726" w:rsidRPr="00391857" w:rsidRDefault="000D6726" w:rsidP="000D6726">
            <w:pPr>
              <w:pStyle w:val="Committeetemplate"/>
              <w:numPr>
                <w:ilvl w:val="0"/>
                <w:numId w:val="0"/>
              </w:numPr>
              <w:spacing w:line="276" w:lineRule="auto"/>
              <w:rPr>
                <w:b w:val="0"/>
                <w:bCs w:val="0"/>
                <w:spacing w:val="-20"/>
                <w:sz w:val="18"/>
                <w:szCs w:val="20"/>
              </w:rPr>
            </w:pPr>
            <w:r w:rsidRPr="00391857">
              <w:rPr>
                <w:b w:val="0"/>
                <w:bCs w:val="0"/>
                <w:spacing w:val="-20"/>
                <w:sz w:val="18"/>
                <w:szCs w:val="20"/>
              </w:rPr>
              <w:t>Chalet 6 Bay View Terrace</w:t>
            </w:r>
          </w:p>
        </w:tc>
        <w:tc>
          <w:tcPr>
            <w:tcW w:w="1217" w:type="dxa"/>
          </w:tcPr>
          <w:p w14:paraId="77A36B63" w14:textId="128510D9" w:rsidR="000D6726" w:rsidRPr="00391857" w:rsidRDefault="000D6726" w:rsidP="000D6726">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470F03">
              <w:rPr>
                <w:sz w:val="18"/>
                <w:szCs w:val="20"/>
              </w:rPr>
              <w:t>13/08/20021</w:t>
            </w:r>
          </w:p>
        </w:tc>
        <w:tc>
          <w:tcPr>
            <w:tcW w:w="1245" w:type="dxa"/>
          </w:tcPr>
          <w:p w14:paraId="535BBD8F" w14:textId="15E41C04" w:rsidR="000D6726" w:rsidRPr="00391857" w:rsidRDefault="000D6726" w:rsidP="000D6726">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470F03">
              <w:rPr>
                <w:sz w:val="18"/>
                <w:szCs w:val="20"/>
              </w:rPr>
              <w:t>12/09/2021</w:t>
            </w:r>
          </w:p>
        </w:tc>
        <w:tc>
          <w:tcPr>
            <w:tcW w:w="1197" w:type="dxa"/>
          </w:tcPr>
          <w:p w14:paraId="0183F5E3" w14:textId="5A594074" w:rsidR="000D6726" w:rsidRPr="00391857" w:rsidRDefault="000D6726" w:rsidP="000D6726">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w:t>
            </w:r>
          </w:p>
        </w:tc>
        <w:tc>
          <w:tcPr>
            <w:tcW w:w="2215" w:type="dxa"/>
          </w:tcPr>
          <w:p w14:paraId="3E7CBE43" w14:textId="2D0A789C" w:rsidR="000D6726" w:rsidRPr="00391857" w:rsidRDefault="000D6726" w:rsidP="000D6726">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w:t>
            </w:r>
          </w:p>
        </w:tc>
      </w:tr>
      <w:tr w:rsidR="000D6726" w:rsidRPr="00391857" w14:paraId="699FEB7C" w14:textId="77777777" w:rsidTr="00E70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5" w:type="dxa"/>
          </w:tcPr>
          <w:p w14:paraId="5E705C29" w14:textId="42302C6D" w:rsidR="000D6726" w:rsidRPr="00391857" w:rsidRDefault="000D6726" w:rsidP="000D6726">
            <w:pPr>
              <w:pStyle w:val="Committeetemplate"/>
              <w:numPr>
                <w:ilvl w:val="0"/>
                <w:numId w:val="0"/>
              </w:numPr>
              <w:spacing w:line="276" w:lineRule="auto"/>
              <w:rPr>
                <w:b w:val="0"/>
                <w:bCs w:val="0"/>
                <w:spacing w:val="-20"/>
                <w:sz w:val="18"/>
                <w:szCs w:val="20"/>
              </w:rPr>
            </w:pPr>
            <w:r w:rsidRPr="00391857">
              <w:rPr>
                <w:b w:val="0"/>
                <w:bCs w:val="0"/>
                <w:spacing w:val="-20"/>
                <w:sz w:val="18"/>
                <w:szCs w:val="20"/>
              </w:rPr>
              <w:t>7 Bay View Terrace</w:t>
            </w:r>
          </w:p>
        </w:tc>
        <w:tc>
          <w:tcPr>
            <w:tcW w:w="1217" w:type="dxa"/>
          </w:tcPr>
          <w:p w14:paraId="178C6711" w14:textId="6B138E5B" w:rsidR="000D6726" w:rsidRPr="00391857" w:rsidRDefault="000D6726" w:rsidP="000D6726">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20"/>
              </w:rPr>
            </w:pPr>
            <w:r w:rsidRPr="00470F03">
              <w:rPr>
                <w:sz w:val="18"/>
                <w:szCs w:val="20"/>
              </w:rPr>
              <w:t>13/08/20021</w:t>
            </w:r>
          </w:p>
        </w:tc>
        <w:tc>
          <w:tcPr>
            <w:tcW w:w="1245" w:type="dxa"/>
          </w:tcPr>
          <w:p w14:paraId="005AA64F" w14:textId="68492F25" w:rsidR="000D6726" w:rsidRPr="00391857" w:rsidRDefault="000D6726" w:rsidP="000D6726">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20"/>
              </w:rPr>
            </w:pPr>
            <w:r w:rsidRPr="00470F03">
              <w:rPr>
                <w:sz w:val="18"/>
                <w:szCs w:val="20"/>
              </w:rPr>
              <w:t>12/09/2021</w:t>
            </w:r>
          </w:p>
        </w:tc>
        <w:tc>
          <w:tcPr>
            <w:tcW w:w="1197" w:type="dxa"/>
          </w:tcPr>
          <w:p w14:paraId="30AAE1D8" w14:textId="05C1C3AE" w:rsidR="000D6726" w:rsidRPr="00391857" w:rsidRDefault="000D6726" w:rsidP="000D6726">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20"/>
              </w:rPr>
            </w:pPr>
            <w:r>
              <w:rPr>
                <w:sz w:val="18"/>
                <w:szCs w:val="20"/>
              </w:rPr>
              <w:t>-</w:t>
            </w:r>
          </w:p>
        </w:tc>
        <w:tc>
          <w:tcPr>
            <w:tcW w:w="2215" w:type="dxa"/>
          </w:tcPr>
          <w:p w14:paraId="26A6D757" w14:textId="757C96DE" w:rsidR="000D6726" w:rsidRPr="00391857" w:rsidRDefault="000D6726" w:rsidP="000D6726">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20"/>
              </w:rPr>
            </w:pPr>
            <w:r>
              <w:rPr>
                <w:sz w:val="18"/>
                <w:szCs w:val="20"/>
              </w:rPr>
              <w:t>-</w:t>
            </w:r>
          </w:p>
        </w:tc>
      </w:tr>
      <w:tr w:rsidR="000D6726" w:rsidRPr="00391857" w14:paraId="6062CF23" w14:textId="77777777" w:rsidTr="00E7078A">
        <w:tc>
          <w:tcPr>
            <w:cnfStyle w:val="001000000000" w:firstRow="0" w:lastRow="0" w:firstColumn="1" w:lastColumn="0" w:oddVBand="0" w:evenVBand="0" w:oddHBand="0" w:evenHBand="0" w:firstRowFirstColumn="0" w:firstRowLastColumn="0" w:lastRowFirstColumn="0" w:lastRowLastColumn="0"/>
            <w:tcW w:w="2915" w:type="dxa"/>
          </w:tcPr>
          <w:p w14:paraId="67D8EED6" w14:textId="77777777" w:rsidR="000D6726" w:rsidRPr="00391857" w:rsidRDefault="000D6726" w:rsidP="000D6726">
            <w:pPr>
              <w:pStyle w:val="Committeetemplate"/>
              <w:numPr>
                <w:ilvl w:val="0"/>
                <w:numId w:val="0"/>
              </w:numPr>
              <w:spacing w:line="276" w:lineRule="auto"/>
              <w:rPr>
                <w:b w:val="0"/>
                <w:bCs w:val="0"/>
                <w:spacing w:val="-20"/>
                <w:sz w:val="18"/>
                <w:szCs w:val="20"/>
              </w:rPr>
            </w:pPr>
            <w:r w:rsidRPr="00391857">
              <w:rPr>
                <w:b w:val="0"/>
                <w:bCs w:val="0"/>
                <w:spacing w:val="-20"/>
                <w:sz w:val="18"/>
                <w:szCs w:val="20"/>
              </w:rPr>
              <w:t>Pernic Forge</w:t>
            </w:r>
          </w:p>
          <w:p w14:paraId="6127A6CC" w14:textId="084F7956" w:rsidR="000D6726" w:rsidRPr="00391857" w:rsidRDefault="000D6726" w:rsidP="000D6726">
            <w:pPr>
              <w:pStyle w:val="Committeetemplate"/>
              <w:numPr>
                <w:ilvl w:val="0"/>
                <w:numId w:val="0"/>
              </w:numPr>
              <w:spacing w:line="276" w:lineRule="auto"/>
              <w:rPr>
                <w:b w:val="0"/>
                <w:bCs w:val="0"/>
                <w:spacing w:val="-20"/>
                <w:sz w:val="18"/>
                <w:szCs w:val="20"/>
              </w:rPr>
            </w:pPr>
            <w:r w:rsidRPr="00391857">
              <w:rPr>
                <w:b w:val="0"/>
                <w:bCs w:val="0"/>
                <w:spacing w:val="-20"/>
                <w:sz w:val="18"/>
                <w:szCs w:val="20"/>
              </w:rPr>
              <w:t>Porthmellon Industrial Estate</w:t>
            </w:r>
          </w:p>
        </w:tc>
        <w:tc>
          <w:tcPr>
            <w:tcW w:w="1217" w:type="dxa"/>
          </w:tcPr>
          <w:p w14:paraId="4936C111" w14:textId="5AA28278" w:rsidR="000D6726" w:rsidRPr="00391857" w:rsidRDefault="000D6726" w:rsidP="000D6726">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470F03">
              <w:rPr>
                <w:sz w:val="18"/>
                <w:szCs w:val="20"/>
              </w:rPr>
              <w:t>13/08/20021</w:t>
            </w:r>
          </w:p>
        </w:tc>
        <w:tc>
          <w:tcPr>
            <w:tcW w:w="1245" w:type="dxa"/>
          </w:tcPr>
          <w:p w14:paraId="549984AA" w14:textId="2774223E" w:rsidR="000D6726" w:rsidRPr="00391857" w:rsidRDefault="000D6726" w:rsidP="000D6726">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470F03">
              <w:rPr>
                <w:sz w:val="18"/>
                <w:szCs w:val="20"/>
              </w:rPr>
              <w:t>12/09/2021</w:t>
            </w:r>
          </w:p>
        </w:tc>
        <w:tc>
          <w:tcPr>
            <w:tcW w:w="1197" w:type="dxa"/>
          </w:tcPr>
          <w:p w14:paraId="20833F48" w14:textId="47B4A661" w:rsidR="000D6726" w:rsidRPr="00391857" w:rsidRDefault="000D6726" w:rsidP="000D6726">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w:t>
            </w:r>
          </w:p>
        </w:tc>
        <w:tc>
          <w:tcPr>
            <w:tcW w:w="2215" w:type="dxa"/>
          </w:tcPr>
          <w:p w14:paraId="661F789B" w14:textId="785FA815" w:rsidR="000D6726" w:rsidRPr="00391857" w:rsidRDefault="000D6726" w:rsidP="000D6726">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w:t>
            </w:r>
          </w:p>
        </w:tc>
      </w:tr>
      <w:tr w:rsidR="000D6726" w:rsidRPr="00391857" w14:paraId="6C792D39" w14:textId="77777777" w:rsidTr="00E70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5" w:type="dxa"/>
          </w:tcPr>
          <w:p w14:paraId="6E0914F8" w14:textId="77777777" w:rsidR="000D6726" w:rsidRPr="000D6726" w:rsidRDefault="000D6726" w:rsidP="000D6726">
            <w:pPr>
              <w:pStyle w:val="Committeetemplate"/>
              <w:numPr>
                <w:ilvl w:val="0"/>
                <w:numId w:val="0"/>
              </w:numPr>
              <w:spacing w:line="276" w:lineRule="auto"/>
              <w:rPr>
                <w:b w:val="0"/>
                <w:bCs w:val="0"/>
                <w:spacing w:val="-20"/>
                <w:sz w:val="18"/>
                <w:szCs w:val="20"/>
              </w:rPr>
            </w:pPr>
            <w:r w:rsidRPr="000D6726">
              <w:rPr>
                <w:b w:val="0"/>
                <w:bCs w:val="0"/>
                <w:spacing w:val="-20"/>
                <w:sz w:val="18"/>
                <w:szCs w:val="20"/>
              </w:rPr>
              <w:t>Radio Scilly</w:t>
            </w:r>
          </w:p>
          <w:p w14:paraId="2A3D238D" w14:textId="6D766A9F" w:rsidR="000D6726" w:rsidRPr="00391857" w:rsidRDefault="000D6726" w:rsidP="000D6726">
            <w:pPr>
              <w:pStyle w:val="Committeetemplate"/>
              <w:numPr>
                <w:ilvl w:val="0"/>
                <w:numId w:val="0"/>
              </w:numPr>
              <w:spacing w:line="276" w:lineRule="auto"/>
              <w:rPr>
                <w:b w:val="0"/>
                <w:bCs w:val="0"/>
                <w:spacing w:val="-20"/>
                <w:sz w:val="18"/>
                <w:szCs w:val="20"/>
              </w:rPr>
            </w:pPr>
            <w:r w:rsidRPr="000D6726">
              <w:rPr>
                <w:b w:val="0"/>
                <w:bCs w:val="0"/>
                <w:spacing w:val="-20"/>
                <w:sz w:val="18"/>
                <w:szCs w:val="20"/>
              </w:rPr>
              <w:t>Porthmellon Industrial Estate</w:t>
            </w:r>
          </w:p>
        </w:tc>
        <w:tc>
          <w:tcPr>
            <w:tcW w:w="1217" w:type="dxa"/>
          </w:tcPr>
          <w:p w14:paraId="0689A2EE" w14:textId="2D526689" w:rsidR="000D6726" w:rsidRPr="00391857" w:rsidRDefault="000D6726" w:rsidP="000D6726">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20"/>
              </w:rPr>
            </w:pPr>
            <w:r w:rsidRPr="00470F03">
              <w:rPr>
                <w:sz w:val="18"/>
                <w:szCs w:val="20"/>
              </w:rPr>
              <w:t>13/08/20021</w:t>
            </w:r>
          </w:p>
        </w:tc>
        <w:tc>
          <w:tcPr>
            <w:tcW w:w="1245" w:type="dxa"/>
          </w:tcPr>
          <w:p w14:paraId="693C3B9B" w14:textId="4D347095" w:rsidR="000D6726" w:rsidRPr="00391857" w:rsidRDefault="000D6726" w:rsidP="000D6726">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20"/>
              </w:rPr>
            </w:pPr>
            <w:r w:rsidRPr="00470F03">
              <w:rPr>
                <w:sz w:val="18"/>
                <w:szCs w:val="20"/>
              </w:rPr>
              <w:t>12/09/2021</w:t>
            </w:r>
          </w:p>
        </w:tc>
        <w:tc>
          <w:tcPr>
            <w:tcW w:w="1197" w:type="dxa"/>
          </w:tcPr>
          <w:p w14:paraId="46C79D86" w14:textId="08C02D76" w:rsidR="000D6726" w:rsidRPr="00391857" w:rsidRDefault="000D6726" w:rsidP="000D6726">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20"/>
              </w:rPr>
            </w:pPr>
            <w:r>
              <w:rPr>
                <w:sz w:val="18"/>
                <w:szCs w:val="20"/>
              </w:rPr>
              <w:t>-</w:t>
            </w:r>
          </w:p>
        </w:tc>
        <w:tc>
          <w:tcPr>
            <w:tcW w:w="2215" w:type="dxa"/>
          </w:tcPr>
          <w:p w14:paraId="72F2ECF3" w14:textId="4F9CB6D9" w:rsidR="000D6726" w:rsidRPr="00391857" w:rsidRDefault="000D6726" w:rsidP="000D6726">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20"/>
              </w:rPr>
            </w:pPr>
            <w:r>
              <w:rPr>
                <w:sz w:val="18"/>
                <w:szCs w:val="20"/>
              </w:rPr>
              <w:t>-</w:t>
            </w:r>
          </w:p>
        </w:tc>
      </w:tr>
      <w:tr w:rsidR="00A26D96" w:rsidRPr="00391857" w14:paraId="521602BC" w14:textId="77777777" w:rsidTr="00E7078A">
        <w:tc>
          <w:tcPr>
            <w:cnfStyle w:val="001000000000" w:firstRow="0" w:lastRow="0" w:firstColumn="1" w:lastColumn="0" w:oddVBand="0" w:evenVBand="0" w:oddHBand="0" w:evenHBand="0" w:firstRowFirstColumn="0" w:firstRowLastColumn="0" w:lastRowFirstColumn="0" w:lastRowLastColumn="0"/>
            <w:tcW w:w="2915" w:type="dxa"/>
          </w:tcPr>
          <w:p w14:paraId="47F3FD11" w14:textId="009E5E8F" w:rsidR="00A26D96" w:rsidRPr="00A26D96" w:rsidRDefault="00A26D96" w:rsidP="000D6726">
            <w:pPr>
              <w:pStyle w:val="Committeetemplate"/>
              <w:numPr>
                <w:ilvl w:val="0"/>
                <w:numId w:val="0"/>
              </w:numPr>
              <w:spacing w:line="276" w:lineRule="auto"/>
              <w:rPr>
                <w:b w:val="0"/>
                <w:bCs w:val="0"/>
                <w:spacing w:val="-20"/>
                <w:sz w:val="18"/>
                <w:szCs w:val="20"/>
              </w:rPr>
            </w:pPr>
            <w:r w:rsidRPr="00A26D96">
              <w:rPr>
                <w:b w:val="0"/>
                <w:bCs w:val="0"/>
                <w:spacing w:val="-20"/>
                <w:sz w:val="18"/>
                <w:szCs w:val="20"/>
              </w:rPr>
              <w:t>Turnstones, Telegraph Road</w:t>
            </w:r>
          </w:p>
        </w:tc>
        <w:tc>
          <w:tcPr>
            <w:tcW w:w="1217" w:type="dxa"/>
          </w:tcPr>
          <w:p w14:paraId="76403F5A" w14:textId="19516312" w:rsidR="00A26D96" w:rsidRPr="00470F03" w:rsidRDefault="00A26D96" w:rsidP="000D6726">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w:t>
            </w:r>
          </w:p>
        </w:tc>
        <w:tc>
          <w:tcPr>
            <w:tcW w:w="1245" w:type="dxa"/>
          </w:tcPr>
          <w:p w14:paraId="19CB5928" w14:textId="62525EA9" w:rsidR="00A26D96" w:rsidRPr="00470F03" w:rsidRDefault="00A26D96" w:rsidP="000D6726">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w:t>
            </w:r>
          </w:p>
        </w:tc>
        <w:tc>
          <w:tcPr>
            <w:tcW w:w="1197" w:type="dxa"/>
          </w:tcPr>
          <w:p w14:paraId="292817F1" w14:textId="5382C37B" w:rsidR="00A26D96" w:rsidRDefault="00A26D96" w:rsidP="000D6726">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31/08/2021</w:t>
            </w:r>
          </w:p>
        </w:tc>
        <w:tc>
          <w:tcPr>
            <w:tcW w:w="2215" w:type="dxa"/>
          </w:tcPr>
          <w:p w14:paraId="022B4C2D" w14:textId="76B500E0" w:rsidR="00A26D96" w:rsidRDefault="00A26D96" w:rsidP="000D6726">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I would just like to make a plea that the little area (garden) on the bank opposite Turnstones is not disturbed. I like to think that it is a memory to Richard as he made it and looked after it.</w:t>
            </w:r>
          </w:p>
        </w:tc>
      </w:tr>
    </w:tbl>
    <w:p w14:paraId="2E2F619E" w14:textId="77777777" w:rsidR="00E60399" w:rsidRDefault="00E60399" w:rsidP="00E60399">
      <w:pPr>
        <w:pStyle w:val="Committeetemplate"/>
        <w:numPr>
          <w:ilvl w:val="0"/>
          <w:numId w:val="0"/>
        </w:numPr>
        <w:ind w:left="567"/>
      </w:pPr>
    </w:p>
    <w:p w14:paraId="6AC0C702" w14:textId="7C1F95B1" w:rsidR="00E60399" w:rsidRDefault="00E60399" w:rsidP="00E60399">
      <w:pPr>
        <w:pStyle w:val="Committeetemplate"/>
        <w:ind w:left="567" w:hanging="567"/>
      </w:pPr>
      <w:r w:rsidRPr="008E5CA9">
        <w:t>Due to the nature and location of the application,</w:t>
      </w:r>
      <w:r>
        <w:t xml:space="preserve"> being classed as</w:t>
      </w:r>
      <w:r w:rsidRPr="002C6942">
        <w:t xml:space="preserve"> </w:t>
      </w:r>
      <w:r>
        <w:t>‘Environmental Impact Assessment</w:t>
      </w:r>
      <w:r w:rsidR="0032456E">
        <w:t>’</w:t>
      </w:r>
      <w:r>
        <w:t xml:space="preserve"> (EIA) development</w:t>
      </w:r>
      <w:r w:rsidRPr="008E5CA9">
        <w:t xml:space="preserve"> a number of internal </w:t>
      </w:r>
      <w:r w:rsidRPr="008E5CA9">
        <w:lastRenderedPageBreak/>
        <w:t xml:space="preserve">and external consultations have been carried out.  These, including dates consulted and responses received, are set out in summary below. All consultation responses received on this application can be read in full following the </w:t>
      </w:r>
      <w:r w:rsidRPr="008E5CA9">
        <w:rPr>
          <w:b/>
          <w:bCs/>
        </w:rPr>
        <w:t>link (1)</w:t>
      </w:r>
      <w:r w:rsidRPr="008E5CA9">
        <w:t xml:space="preserve"> below. Material planning issues raised will be addressed in the planning assessment below.</w:t>
      </w:r>
    </w:p>
    <w:p w14:paraId="009F850D" w14:textId="77777777" w:rsidR="00E60399" w:rsidRDefault="00E60399" w:rsidP="00E60399">
      <w:pPr>
        <w:pStyle w:val="Committeetemplate"/>
        <w:numPr>
          <w:ilvl w:val="0"/>
          <w:numId w:val="0"/>
        </w:numPr>
        <w:ind w:left="567"/>
      </w:pPr>
    </w:p>
    <w:tbl>
      <w:tblPr>
        <w:tblStyle w:val="PlainTable1"/>
        <w:tblW w:w="8931" w:type="dxa"/>
        <w:tblInd w:w="562" w:type="dxa"/>
        <w:tblLook w:val="04A0" w:firstRow="1" w:lastRow="0" w:firstColumn="1" w:lastColumn="0" w:noHBand="0" w:noVBand="1"/>
      </w:tblPr>
      <w:tblGrid>
        <w:gridCol w:w="1340"/>
        <w:gridCol w:w="1217"/>
        <w:gridCol w:w="1271"/>
        <w:gridCol w:w="1328"/>
        <w:gridCol w:w="3775"/>
      </w:tblGrid>
      <w:tr w:rsidR="00E60399" w:rsidRPr="00E65D43" w14:paraId="50E43241" w14:textId="77777777" w:rsidTr="009076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0" w:type="dxa"/>
          </w:tcPr>
          <w:p w14:paraId="02BFF7BA" w14:textId="77777777" w:rsidR="00E60399" w:rsidRPr="00E65D43" w:rsidRDefault="00E60399" w:rsidP="009076A0">
            <w:pPr>
              <w:pStyle w:val="Committeetemplate"/>
              <w:numPr>
                <w:ilvl w:val="0"/>
                <w:numId w:val="0"/>
              </w:numPr>
              <w:spacing w:line="276" w:lineRule="auto"/>
              <w:ind w:left="57" w:hanging="57"/>
              <w:rPr>
                <w:bCs w:val="0"/>
                <w:spacing w:val="-20"/>
                <w:sz w:val="20"/>
                <w:szCs w:val="22"/>
              </w:rPr>
            </w:pPr>
            <w:r>
              <w:rPr>
                <w:bCs w:val="0"/>
                <w:spacing w:val="-20"/>
                <w:sz w:val="20"/>
                <w:szCs w:val="22"/>
              </w:rPr>
              <w:t>Consultee</w:t>
            </w:r>
          </w:p>
        </w:tc>
        <w:tc>
          <w:tcPr>
            <w:tcW w:w="1217" w:type="dxa"/>
          </w:tcPr>
          <w:p w14:paraId="198F504C" w14:textId="77777777" w:rsidR="00E60399" w:rsidRPr="00E65D43" w:rsidRDefault="00E60399" w:rsidP="009076A0">
            <w:pPr>
              <w:pStyle w:val="Committeetemplate"/>
              <w:numPr>
                <w:ilvl w:val="0"/>
                <w:numId w:val="0"/>
              </w:numPr>
              <w:spacing w:line="276" w:lineRule="auto"/>
              <w:cnfStyle w:val="100000000000" w:firstRow="1" w:lastRow="0" w:firstColumn="0" w:lastColumn="0" w:oddVBand="0" w:evenVBand="0" w:oddHBand="0" w:evenHBand="0" w:firstRowFirstColumn="0" w:firstRowLastColumn="0" w:lastRowFirstColumn="0" w:lastRowLastColumn="0"/>
              <w:rPr>
                <w:sz w:val="20"/>
                <w:szCs w:val="20"/>
                <w:lang w:eastAsia="en-GB"/>
              </w:rPr>
            </w:pPr>
            <w:r>
              <w:rPr>
                <w:sz w:val="20"/>
                <w:szCs w:val="20"/>
                <w:lang w:eastAsia="en-GB"/>
              </w:rPr>
              <w:t>Date Consulted</w:t>
            </w:r>
          </w:p>
        </w:tc>
        <w:tc>
          <w:tcPr>
            <w:tcW w:w="1271" w:type="dxa"/>
          </w:tcPr>
          <w:p w14:paraId="2A083BA7" w14:textId="77777777" w:rsidR="00E60399" w:rsidRPr="00E65D43" w:rsidRDefault="00E60399" w:rsidP="009076A0">
            <w:pPr>
              <w:pStyle w:val="Committeetemplate"/>
              <w:numPr>
                <w:ilvl w:val="0"/>
                <w:numId w:val="0"/>
              </w:numPr>
              <w:spacing w:line="276" w:lineRule="auto"/>
              <w:cnfStyle w:val="100000000000" w:firstRow="1" w:lastRow="0" w:firstColumn="0" w:lastColumn="0" w:oddVBand="0" w:evenVBand="0" w:oddHBand="0" w:evenHBand="0" w:firstRowFirstColumn="0" w:firstRowLastColumn="0" w:lastRowFirstColumn="0" w:lastRowLastColumn="0"/>
              <w:rPr>
                <w:sz w:val="20"/>
                <w:szCs w:val="20"/>
                <w:lang w:eastAsia="en-GB"/>
              </w:rPr>
            </w:pPr>
            <w:r>
              <w:rPr>
                <w:sz w:val="20"/>
                <w:szCs w:val="20"/>
                <w:lang w:eastAsia="en-GB"/>
              </w:rPr>
              <w:t>Comments Due</w:t>
            </w:r>
          </w:p>
        </w:tc>
        <w:tc>
          <w:tcPr>
            <w:tcW w:w="1328" w:type="dxa"/>
          </w:tcPr>
          <w:p w14:paraId="18E53E2A" w14:textId="77777777" w:rsidR="00E60399" w:rsidRPr="00E65D43" w:rsidRDefault="00E60399" w:rsidP="009076A0">
            <w:pPr>
              <w:pStyle w:val="Committeetemplate"/>
              <w:numPr>
                <w:ilvl w:val="0"/>
                <w:numId w:val="0"/>
              </w:numPr>
              <w:spacing w:line="276" w:lineRule="auto"/>
              <w:cnfStyle w:val="100000000000" w:firstRow="1" w:lastRow="0" w:firstColumn="0" w:lastColumn="0" w:oddVBand="0" w:evenVBand="0" w:oddHBand="0" w:evenHBand="0" w:firstRowFirstColumn="0" w:firstRowLastColumn="0" w:lastRowFirstColumn="0" w:lastRowLastColumn="0"/>
              <w:rPr>
                <w:bCs w:val="0"/>
                <w:sz w:val="20"/>
                <w:szCs w:val="20"/>
                <w:lang w:eastAsia="en-GB"/>
              </w:rPr>
            </w:pPr>
            <w:r w:rsidRPr="00E65D43">
              <w:rPr>
                <w:bCs w:val="0"/>
                <w:sz w:val="20"/>
                <w:szCs w:val="20"/>
                <w:lang w:eastAsia="en-GB"/>
              </w:rPr>
              <w:t>Date Responded</w:t>
            </w:r>
          </w:p>
        </w:tc>
        <w:tc>
          <w:tcPr>
            <w:tcW w:w="3775" w:type="dxa"/>
          </w:tcPr>
          <w:p w14:paraId="2D8E8DD7" w14:textId="77777777" w:rsidR="00E60399" w:rsidRPr="00E65D43" w:rsidRDefault="00E60399" w:rsidP="009076A0">
            <w:pPr>
              <w:pStyle w:val="Committeetemplate"/>
              <w:numPr>
                <w:ilvl w:val="0"/>
                <w:numId w:val="0"/>
              </w:numPr>
              <w:spacing w:line="276" w:lineRule="auto"/>
              <w:cnfStyle w:val="100000000000" w:firstRow="1" w:lastRow="0" w:firstColumn="0" w:lastColumn="0" w:oddVBand="0" w:evenVBand="0" w:oddHBand="0" w:evenHBand="0" w:firstRowFirstColumn="0" w:firstRowLastColumn="0" w:lastRowFirstColumn="0" w:lastRowLastColumn="0"/>
              <w:rPr>
                <w:bCs w:val="0"/>
                <w:sz w:val="20"/>
                <w:szCs w:val="20"/>
                <w:lang w:eastAsia="en-GB"/>
              </w:rPr>
            </w:pPr>
            <w:r w:rsidRPr="00E65D43">
              <w:rPr>
                <w:bCs w:val="0"/>
                <w:sz w:val="20"/>
                <w:szCs w:val="20"/>
                <w:lang w:eastAsia="en-GB"/>
              </w:rPr>
              <w:t>Comments</w:t>
            </w:r>
          </w:p>
        </w:tc>
      </w:tr>
      <w:tr w:rsidR="00E60399" w:rsidRPr="003B2AB8" w14:paraId="2AF4B064" w14:textId="77777777" w:rsidTr="009076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0" w:type="dxa"/>
          </w:tcPr>
          <w:p w14:paraId="5D68D233" w14:textId="77777777" w:rsidR="00E60399" w:rsidRPr="003B2AB8" w:rsidRDefault="00E60399" w:rsidP="009076A0">
            <w:pPr>
              <w:pStyle w:val="Committeetemplate"/>
              <w:numPr>
                <w:ilvl w:val="0"/>
                <w:numId w:val="0"/>
              </w:numPr>
              <w:spacing w:line="276" w:lineRule="auto"/>
              <w:rPr>
                <w:b w:val="0"/>
                <w:spacing w:val="-20"/>
                <w:sz w:val="20"/>
                <w:szCs w:val="22"/>
              </w:rPr>
            </w:pPr>
            <w:r>
              <w:rPr>
                <w:b w:val="0"/>
                <w:spacing w:val="-20"/>
                <w:sz w:val="20"/>
                <w:szCs w:val="22"/>
              </w:rPr>
              <w:t>Natural England</w:t>
            </w:r>
          </w:p>
        </w:tc>
        <w:tc>
          <w:tcPr>
            <w:tcW w:w="1217" w:type="dxa"/>
          </w:tcPr>
          <w:p w14:paraId="1954C3F3" w14:textId="77777777" w:rsidR="00E60399" w:rsidRPr="003B2AB8" w:rsidRDefault="00E60399" w:rsidP="009076A0">
            <w:pPr>
              <w:pStyle w:val="Committeetemplate"/>
              <w:numPr>
                <w:ilvl w:val="0"/>
                <w:numId w:val="0"/>
              </w:numPr>
              <w:spacing w:line="276" w:lineRule="auto"/>
              <w:ind w:left="57" w:hanging="57"/>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13/08/2021</w:t>
            </w:r>
          </w:p>
        </w:tc>
        <w:tc>
          <w:tcPr>
            <w:tcW w:w="1271" w:type="dxa"/>
          </w:tcPr>
          <w:p w14:paraId="63EDF773" w14:textId="77777777" w:rsidR="00E60399" w:rsidRDefault="00E60399" w:rsidP="009076A0">
            <w:pPr>
              <w:pStyle w:val="Committeetemplate"/>
              <w:numPr>
                <w:ilvl w:val="0"/>
                <w:numId w:val="0"/>
              </w:numPr>
              <w:spacing w:line="276" w:lineRule="auto"/>
              <w:ind w:left="57" w:hanging="57"/>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12/09/2021</w:t>
            </w:r>
          </w:p>
        </w:tc>
        <w:tc>
          <w:tcPr>
            <w:tcW w:w="1328" w:type="dxa"/>
          </w:tcPr>
          <w:p w14:paraId="3B3ADD21" w14:textId="77777777" w:rsidR="00E60399" w:rsidRPr="003B2AB8" w:rsidRDefault="00E60399" w:rsidP="009076A0">
            <w:pPr>
              <w:pStyle w:val="Committeetemplate"/>
              <w:numPr>
                <w:ilvl w:val="0"/>
                <w:numId w:val="0"/>
              </w:numPr>
              <w:spacing w:line="276" w:lineRule="auto"/>
              <w:ind w:left="57" w:hanging="57"/>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03/09/2021</w:t>
            </w:r>
          </w:p>
        </w:tc>
        <w:tc>
          <w:tcPr>
            <w:tcW w:w="3775" w:type="dxa"/>
          </w:tcPr>
          <w:p w14:paraId="5C421979" w14:textId="77777777" w:rsidR="00E60399" w:rsidRPr="00470F03" w:rsidRDefault="00E60399" w:rsidP="009076A0">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18"/>
              </w:rPr>
            </w:pPr>
            <w:r w:rsidRPr="00470F03">
              <w:rPr>
                <w:sz w:val="18"/>
                <w:szCs w:val="18"/>
              </w:rPr>
              <w:t>In terms of the conservation of Habitats and Species then in relation to the impact upon European Sites (SAC and SPA), there is ‘No objection’.</w:t>
            </w:r>
          </w:p>
          <w:p w14:paraId="7251108C" w14:textId="64C77527" w:rsidR="00E60399" w:rsidRPr="00470F03" w:rsidRDefault="00E60399" w:rsidP="009076A0">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18"/>
              </w:rPr>
            </w:pPr>
            <w:r w:rsidRPr="00470F03">
              <w:rPr>
                <w:sz w:val="18"/>
                <w:szCs w:val="18"/>
              </w:rPr>
              <w:t>Based on the details submitted NE are satisfied that the works will not hinder the conservation objectives of this site; so long as they are undertaken in strict accordance with the information provided by the applicant. Natural England will comment on a stage 1 MCZ assessment if consulted by the MMO.</w:t>
            </w:r>
          </w:p>
        </w:tc>
      </w:tr>
      <w:tr w:rsidR="00A95E77" w:rsidRPr="003B2AB8" w14:paraId="6DE81D31" w14:textId="77777777" w:rsidTr="009076A0">
        <w:tc>
          <w:tcPr>
            <w:cnfStyle w:val="001000000000" w:firstRow="0" w:lastRow="0" w:firstColumn="1" w:lastColumn="0" w:oddVBand="0" w:evenVBand="0" w:oddHBand="0" w:evenHBand="0" w:firstRowFirstColumn="0" w:firstRowLastColumn="0" w:lastRowFirstColumn="0" w:lastRowLastColumn="0"/>
            <w:tcW w:w="1340" w:type="dxa"/>
          </w:tcPr>
          <w:p w14:paraId="0701C422" w14:textId="4D784CE1" w:rsidR="00A95E77" w:rsidRDefault="00A95E77" w:rsidP="009076A0">
            <w:pPr>
              <w:pStyle w:val="Committeetemplate"/>
              <w:numPr>
                <w:ilvl w:val="0"/>
                <w:numId w:val="0"/>
              </w:numPr>
              <w:spacing w:line="276" w:lineRule="auto"/>
              <w:rPr>
                <w:b w:val="0"/>
                <w:spacing w:val="-20"/>
                <w:sz w:val="20"/>
                <w:szCs w:val="22"/>
              </w:rPr>
            </w:pPr>
            <w:r>
              <w:rPr>
                <w:b w:val="0"/>
                <w:spacing w:val="-20"/>
                <w:sz w:val="20"/>
                <w:szCs w:val="22"/>
              </w:rPr>
              <w:t>Historic England</w:t>
            </w:r>
          </w:p>
        </w:tc>
        <w:tc>
          <w:tcPr>
            <w:tcW w:w="1217" w:type="dxa"/>
          </w:tcPr>
          <w:p w14:paraId="69CDF962" w14:textId="1AF7038A" w:rsidR="00A95E77" w:rsidRDefault="00A95E77" w:rsidP="009076A0">
            <w:pPr>
              <w:pStyle w:val="Committeetemplate"/>
              <w:numPr>
                <w:ilvl w:val="0"/>
                <w:numId w:val="0"/>
              </w:numPr>
              <w:spacing w:line="276" w:lineRule="auto"/>
              <w:ind w:left="57" w:hanging="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13/08/2021</w:t>
            </w:r>
          </w:p>
        </w:tc>
        <w:tc>
          <w:tcPr>
            <w:tcW w:w="1271" w:type="dxa"/>
          </w:tcPr>
          <w:p w14:paraId="1DE504D0" w14:textId="23510DE5" w:rsidR="00A95E77" w:rsidRDefault="00A95E77" w:rsidP="009076A0">
            <w:pPr>
              <w:pStyle w:val="Committeetemplate"/>
              <w:numPr>
                <w:ilvl w:val="0"/>
                <w:numId w:val="0"/>
              </w:numPr>
              <w:spacing w:line="276" w:lineRule="auto"/>
              <w:ind w:left="57" w:hanging="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12/09/2021</w:t>
            </w:r>
          </w:p>
        </w:tc>
        <w:tc>
          <w:tcPr>
            <w:tcW w:w="1328" w:type="dxa"/>
          </w:tcPr>
          <w:p w14:paraId="75F65BBA" w14:textId="5E40D489" w:rsidR="00A95E77" w:rsidRDefault="00A95E77" w:rsidP="009076A0">
            <w:pPr>
              <w:pStyle w:val="Committeetemplate"/>
              <w:numPr>
                <w:ilvl w:val="0"/>
                <w:numId w:val="0"/>
              </w:numPr>
              <w:spacing w:line="276" w:lineRule="auto"/>
              <w:ind w:left="57" w:hanging="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31/08/2021</w:t>
            </w:r>
          </w:p>
        </w:tc>
        <w:tc>
          <w:tcPr>
            <w:tcW w:w="3775" w:type="dxa"/>
          </w:tcPr>
          <w:p w14:paraId="0729E94F" w14:textId="3A4DC196" w:rsidR="00A95E77" w:rsidRPr="00470F03" w:rsidRDefault="00A95E77" w:rsidP="009076A0">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O</w:t>
            </w:r>
            <w:r w:rsidRPr="00A95E77">
              <w:rPr>
                <w:sz w:val="18"/>
                <w:szCs w:val="18"/>
              </w:rPr>
              <w:t>n the basis of the information available to date, we do not wish to offer any comments. We suggest that you seek the views of your specialist conservation and archaeological advisers, as relevant.</w:t>
            </w:r>
          </w:p>
        </w:tc>
      </w:tr>
      <w:tr w:rsidR="00E60399" w:rsidRPr="003B2AB8" w14:paraId="2192E8BB" w14:textId="77777777" w:rsidTr="009076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0" w:type="dxa"/>
          </w:tcPr>
          <w:p w14:paraId="081FA49A" w14:textId="77777777" w:rsidR="00E60399" w:rsidRPr="003B2AB8" w:rsidRDefault="00E60399" w:rsidP="009076A0">
            <w:pPr>
              <w:pStyle w:val="Committeetemplate"/>
              <w:numPr>
                <w:ilvl w:val="0"/>
                <w:numId w:val="0"/>
              </w:numPr>
              <w:spacing w:line="276" w:lineRule="auto"/>
              <w:rPr>
                <w:b w:val="0"/>
                <w:spacing w:val="-20"/>
                <w:sz w:val="20"/>
                <w:szCs w:val="22"/>
              </w:rPr>
            </w:pPr>
            <w:r>
              <w:rPr>
                <w:b w:val="0"/>
                <w:spacing w:val="-20"/>
                <w:sz w:val="20"/>
                <w:szCs w:val="22"/>
              </w:rPr>
              <w:t>Secretary of State</w:t>
            </w:r>
          </w:p>
        </w:tc>
        <w:tc>
          <w:tcPr>
            <w:tcW w:w="1217" w:type="dxa"/>
          </w:tcPr>
          <w:p w14:paraId="40FA6B3B" w14:textId="77777777" w:rsidR="00E60399" w:rsidRPr="003B2AB8" w:rsidRDefault="00E60399" w:rsidP="009076A0">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13/08/2021</w:t>
            </w:r>
          </w:p>
        </w:tc>
        <w:tc>
          <w:tcPr>
            <w:tcW w:w="1271" w:type="dxa"/>
          </w:tcPr>
          <w:p w14:paraId="61F0949E" w14:textId="77777777" w:rsidR="00E60399" w:rsidRDefault="00E60399" w:rsidP="009076A0">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12/09/2021</w:t>
            </w:r>
          </w:p>
        </w:tc>
        <w:tc>
          <w:tcPr>
            <w:tcW w:w="1328" w:type="dxa"/>
          </w:tcPr>
          <w:p w14:paraId="65825799" w14:textId="77777777" w:rsidR="00E60399" w:rsidRPr="003B2AB8" w:rsidRDefault="00E60399" w:rsidP="009076A0">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t>
            </w:r>
          </w:p>
        </w:tc>
        <w:tc>
          <w:tcPr>
            <w:tcW w:w="3775" w:type="dxa"/>
          </w:tcPr>
          <w:p w14:paraId="54677F7E" w14:textId="77777777" w:rsidR="00E60399" w:rsidRPr="003B2AB8" w:rsidRDefault="00E60399" w:rsidP="009076A0">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t>
            </w:r>
          </w:p>
        </w:tc>
      </w:tr>
      <w:tr w:rsidR="00E60399" w:rsidRPr="003B2AB8" w14:paraId="61D31478" w14:textId="77777777" w:rsidTr="009076A0">
        <w:tc>
          <w:tcPr>
            <w:cnfStyle w:val="001000000000" w:firstRow="0" w:lastRow="0" w:firstColumn="1" w:lastColumn="0" w:oddVBand="0" w:evenVBand="0" w:oddHBand="0" w:evenHBand="0" w:firstRowFirstColumn="0" w:firstRowLastColumn="0" w:lastRowFirstColumn="0" w:lastRowLastColumn="0"/>
            <w:tcW w:w="1340" w:type="dxa"/>
          </w:tcPr>
          <w:p w14:paraId="1BF70D40" w14:textId="77777777" w:rsidR="00E60399" w:rsidRPr="003B2AB8" w:rsidRDefault="00E60399" w:rsidP="009076A0">
            <w:pPr>
              <w:pStyle w:val="Committeetemplate"/>
              <w:numPr>
                <w:ilvl w:val="0"/>
                <w:numId w:val="0"/>
              </w:numPr>
              <w:spacing w:line="276" w:lineRule="auto"/>
              <w:rPr>
                <w:b w:val="0"/>
                <w:spacing w:val="-20"/>
                <w:sz w:val="20"/>
                <w:szCs w:val="22"/>
              </w:rPr>
            </w:pPr>
            <w:r>
              <w:rPr>
                <w:b w:val="0"/>
                <w:spacing w:val="-20"/>
                <w:sz w:val="20"/>
                <w:szCs w:val="22"/>
              </w:rPr>
              <w:t>South West Water</w:t>
            </w:r>
          </w:p>
        </w:tc>
        <w:tc>
          <w:tcPr>
            <w:tcW w:w="1217" w:type="dxa"/>
          </w:tcPr>
          <w:p w14:paraId="6FC41661" w14:textId="77777777" w:rsidR="00E60399" w:rsidRPr="003B2AB8" w:rsidRDefault="00E60399" w:rsidP="009076A0">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13/08/2021</w:t>
            </w:r>
          </w:p>
        </w:tc>
        <w:tc>
          <w:tcPr>
            <w:tcW w:w="1271" w:type="dxa"/>
          </w:tcPr>
          <w:p w14:paraId="509B880A" w14:textId="77777777" w:rsidR="00E60399" w:rsidRDefault="00E60399" w:rsidP="009076A0">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12/09/2021</w:t>
            </w:r>
          </w:p>
        </w:tc>
        <w:tc>
          <w:tcPr>
            <w:tcW w:w="1328" w:type="dxa"/>
          </w:tcPr>
          <w:p w14:paraId="79BECAC2" w14:textId="2AEC8F5C" w:rsidR="00E60399" w:rsidRPr="003B2AB8" w:rsidRDefault="005C4E3F" w:rsidP="009076A0">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3775" w:type="dxa"/>
          </w:tcPr>
          <w:p w14:paraId="27758098" w14:textId="6F87F991" w:rsidR="00E60399" w:rsidRPr="00514865" w:rsidRDefault="005C4E3F" w:rsidP="009076A0">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w:t>
            </w:r>
          </w:p>
        </w:tc>
      </w:tr>
      <w:tr w:rsidR="00E60399" w:rsidRPr="003B2AB8" w14:paraId="22C6A8F7" w14:textId="77777777" w:rsidTr="009076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0" w:type="dxa"/>
          </w:tcPr>
          <w:p w14:paraId="79C523D8" w14:textId="482EC1B9" w:rsidR="00E60399" w:rsidRDefault="00E60399" w:rsidP="009076A0">
            <w:pPr>
              <w:pStyle w:val="Committeetemplate"/>
              <w:numPr>
                <w:ilvl w:val="0"/>
                <w:numId w:val="0"/>
              </w:numPr>
              <w:spacing w:line="276" w:lineRule="auto"/>
              <w:rPr>
                <w:b w:val="0"/>
                <w:spacing w:val="-20"/>
                <w:sz w:val="20"/>
                <w:szCs w:val="22"/>
              </w:rPr>
            </w:pPr>
            <w:r>
              <w:rPr>
                <w:b w:val="0"/>
                <w:spacing w:val="-20"/>
                <w:sz w:val="20"/>
                <w:szCs w:val="22"/>
              </w:rPr>
              <w:t xml:space="preserve">Cornwall </w:t>
            </w:r>
            <w:r w:rsidR="00D85A2F">
              <w:rPr>
                <w:b w:val="0"/>
                <w:spacing w:val="-20"/>
                <w:sz w:val="20"/>
                <w:szCs w:val="22"/>
              </w:rPr>
              <w:t>Archaeological</w:t>
            </w:r>
            <w:r>
              <w:rPr>
                <w:b w:val="0"/>
                <w:spacing w:val="-20"/>
                <w:sz w:val="20"/>
                <w:szCs w:val="22"/>
              </w:rPr>
              <w:t xml:space="preserve"> Unit</w:t>
            </w:r>
          </w:p>
        </w:tc>
        <w:tc>
          <w:tcPr>
            <w:tcW w:w="1217" w:type="dxa"/>
          </w:tcPr>
          <w:p w14:paraId="1AFD1706" w14:textId="77777777" w:rsidR="00E60399" w:rsidRPr="001035BC" w:rsidRDefault="00E60399" w:rsidP="009076A0">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13/08/2021</w:t>
            </w:r>
          </w:p>
        </w:tc>
        <w:tc>
          <w:tcPr>
            <w:tcW w:w="1271" w:type="dxa"/>
          </w:tcPr>
          <w:p w14:paraId="7A68F6E6" w14:textId="77777777" w:rsidR="00E60399" w:rsidRPr="003D2E9A" w:rsidRDefault="00E60399" w:rsidP="009076A0">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12/09/2021</w:t>
            </w:r>
          </w:p>
        </w:tc>
        <w:tc>
          <w:tcPr>
            <w:tcW w:w="1328" w:type="dxa"/>
          </w:tcPr>
          <w:p w14:paraId="27D4DED3" w14:textId="77777777" w:rsidR="00E60399" w:rsidRPr="003B2AB8" w:rsidRDefault="00E60399" w:rsidP="009076A0">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09/09/2021</w:t>
            </w:r>
          </w:p>
        </w:tc>
        <w:tc>
          <w:tcPr>
            <w:tcW w:w="3775" w:type="dxa"/>
          </w:tcPr>
          <w:p w14:paraId="2C751580" w14:textId="77777777" w:rsidR="00E60399" w:rsidRPr="00514865" w:rsidRDefault="00E60399" w:rsidP="009076A0">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18"/>
              </w:rPr>
            </w:pPr>
            <w:r w:rsidRPr="00514865">
              <w:rPr>
                <w:sz w:val="18"/>
                <w:szCs w:val="18"/>
              </w:rPr>
              <w:t>We have consulted the Cornwall &amp; Isles of Scilly Historic Environment Record and the submitted documents, and in this instance, we consider it unlikely that significant archaeological remains will be disturbed by groundworks. No archaeological mitigation is required, and therefore no archaeological condition is sought.</w:t>
            </w:r>
          </w:p>
        </w:tc>
      </w:tr>
      <w:tr w:rsidR="00E60399" w:rsidRPr="003B2AB8" w14:paraId="619B80F8" w14:textId="77777777" w:rsidTr="009076A0">
        <w:tc>
          <w:tcPr>
            <w:cnfStyle w:val="001000000000" w:firstRow="0" w:lastRow="0" w:firstColumn="1" w:lastColumn="0" w:oddVBand="0" w:evenVBand="0" w:oddHBand="0" w:evenHBand="0" w:firstRowFirstColumn="0" w:firstRowLastColumn="0" w:lastRowFirstColumn="0" w:lastRowLastColumn="0"/>
            <w:tcW w:w="1340" w:type="dxa"/>
          </w:tcPr>
          <w:p w14:paraId="3A4CE0ED" w14:textId="77777777" w:rsidR="00E60399" w:rsidRDefault="00E60399" w:rsidP="009076A0">
            <w:pPr>
              <w:pStyle w:val="Committeetemplate"/>
              <w:numPr>
                <w:ilvl w:val="0"/>
                <w:numId w:val="0"/>
              </w:numPr>
              <w:spacing w:line="276" w:lineRule="auto"/>
              <w:rPr>
                <w:b w:val="0"/>
                <w:spacing w:val="-20"/>
                <w:sz w:val="20"/>
                <w:szCs w:val="22"/>
              </w:rPr>
            </w:pPr>
            <w:r>
              <w:rPr>
                <w:b w:val="0"/>
                <w:spacing w:val="-20"/>
                <w:sz w:val="20"/>
                <w:szCs w:val="22"/>
              </w:rPr>
              <w:t>Duchy of Cornwall</w:t>
            </w:r>
          </w:p>
        </w:tc>
        <w:tc>
          <w:tcPr>
            <w:tcW w:w="1217" w:type="dxa"/>
          </w:tcPr>
          <w:p w14:paraId="325DABBB" w14:textId="77777777" w:rsidR="00E60399" w:rsidRPr="001035BC" w:rsidRDefault="00E60399" w:rsidP="009076A0">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13/08/2021</w:t>
            </w:r>
          </w:p>
        </w:tc>
        <w:tc>
          <w:tcPr>
            <w:tcW w:w="1271" w:type="dxa"/>
          </w:tcPr>
          <w:p w14:paraId="4E91F149" w14:textId="77777777" w:rsidR="00E60399" w:rsidRPr="003D2E9A" w:rsidRDefault="00E60399" w:rsidP="009076A0">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12/09/2021</w:t>
            </w:r>
          </w:p>
        </w:tc>
        <w:tc>
          <w:tcPr>
            <w:tcW w:w="1328" w:type="dxa"/>
          </w:tcPr>
          <w:p w14:paraId="4FE25AE1" w14:textId="77777777" w:rsidR="00E60399" w:rsidRDefault="00E60399" w:rsidP="009076A0">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3775" w:type="dxa"/>
          </w:tcPr>
          <w:p w14:paraId="39C55004" w14:textId="77777777" w:rsidR="00E60399" w:rsidRPr="00514865" w:rsidRDefault="00E60399" w:rsidP="009076A0">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18"/>
              </w:rPr>
            </w:pPr>
            <w:r w:rsidRPr="00514865">
              <w:rPr>
                <w:sz w:val="18"/>
                <w:szCs w:val="18"/>
              </w:rPr>
              <w:t>-</w:t>
            </w:r>
          </w:p>
        </w:tc>
      </w:tr>
      <w:tr w:rsidR="00E60399" w:rsidRPr="003B2AB8" w14:paraId="4E788A9A" w14:textId="77777777" w:rsidTr="009076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0" w:type="dxa"/>
          </w:tcPr>
          <w:p w14:paraId="25AF89EE" w14:textId="77777777" w:rsidR="00E60399" w:rsidRDefault="00E60399" w:rsidP="009076A0">
            <w:pPr>
              <w:pStyle w:val="Committeetemplate"/>
              <w:numPr>
                <w:ilvl w:val="0"/>
                <w:numId w:val="0"/>
              </w:numPr>
              <w:spacing w:line="276" w:lineRule="auto"/>
              <w:rPr>
                <w:b w:val="0"/>
                <w:spacing w:val="-20"/>
                <w:sz w:val="20"/>
                <w:szCs w:val="22"/>
              </w:rPr>
            </w:pPr>
            <w:r>
              <w:rPr>
                <w:b w:val="0"/>
                <w:spacing w:val="-20"/>
                <w:sz w:val="20"/>
                <w:szCs w:val="22"/>
              </w:rPr>
              <w:t>Environment Agency</w:t>
            </w:r>
          </w:p>
        </w:tc>
        <w:tc>
          <w:tcPr>
            <w:tcW w:w="1217" w:type="dxa"/>
          </w:tcPr>
          <w:p w14:paraId="5A4B2F26" w14:textId="77777777" w:rsidR="00E60399" w:rsidRPr="001035BC" w:rsidRDefault="00E60399" w:rsidP="009076A0">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13/08/2021</w:t>
            </w:r>
          </w:p>
        </w:tc>
        <w:tc>
          <w:tcPr>
            <w:tcW w:w="1271" w:type="dxa"/>
          </w:tcPr>
          <w:p w14:paraId="115CADC8" w14:textId="77777777" w:rsidR="00E60399" w:rsidRPr="003D2E9A" w:rsidRDefault="00E60399" w:rsidP="009076A0">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12/09/2021</w:t>
            </w:r>
          </w:p>
        </w:tc>
        <w:tc>
          <w:tcPr>
            <w:tcW w:w="1328" w:type="dxa"/>
          </w:tcPr>
          <w:p w14:paraId="2B83977E" w14:textId="77777777" w:rsidR="00E60399" w:rsidRDefault="00E60399" w:rsidP="009076A0">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21/09/2021</w:t>
            </w:r>
          </w:p>
        </w:tc>
        <w:tc>
          <w:tcPr>
            <w:tcW w:w="3775" w:type="dxa"/>
          </w:tcPr>
          <w:p w14:paraId="72577B56" w14:textId="77777777" w:rsidR="00E60399" w:rsidRPr="00514865" w:rsidRDefault="00E60399" w:rsidP="009076A0">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18"/>
              </w:rPr>
            </w:pPr>
            <w:r w:rsidRPr="00514865">
              <w:rPr>
                <w:sz w:val="18"/>
                <w:szCs w:val="18"/>
              </w:rPr>
              <w:t>Overall the EA have no objections to the proposal.  They do note:</w:t>
            </w:r>
          </w:p>
          <w:p w14:paraId="212385C9" w14:textId="77777777" w:rsidR="00E60399" w:rsidRDefault="00E60399" w:rsidP="009076A0">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18"/>
              </w:rPr>
            </w:pPr>
            <w:r w:rsidRPr="00514865">
              <w:rPr>
                <w:sz w:val="18"/>
                <w:szCs w:val="18"/>
              </w:rPr>
              <w:t xml:space="preserve">The proposed structures have the potential to impact on Isles of Scilly Complex Special Area of Conservation (SAC), the Isles of Scilly Special Protection Area (SPA), Peninnis to Dry Ledge Marine Conservation Zone (MCZ) and Porthloo SSSI and Higher Moors and Porth Hellick Pool SSSI. We note that Natural England are the lead authority for these protected areas and are satisfied that if the proposed works are carried out in strict accordance with the information provided by the applicant there is not likely </w:t>
            </w:r>
            <w:r w:rsidRPr="00514865">
              <w:rPr>
                <w:sz w:val="18"/>
                <w:szCs w:val="18"/>
              </w:rPr>
              <w:lastRenderedPageBreak/>
              <w:t xml:space="preserve">to be an adverse effect on the interest features or hinder conservation objectives of the designated sites. </w:t>
            </w:r>
          </w:p>
          <w:p w14:paraId="6AD02717" w14:textId="09CDC00F" w:rsidR="00E60399" w:rsidRPr="00514865" w:rsidRDefault="00E60399" w:rsidP="009076A0">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18"/>
              </w:rPr>
            </w:pPr>
            <w:r w:rsidRPr="00514865">
              <w:rPr>
                <w:sz w:val="18"/>
                <w:szCs w:val="18"/>
              </w:rPr>
              <w:t>We recommend that the mitigation measures set out in Section 5.5 of the Environmental Statement are included in the Construction Environmental Management Plan (CEMP) and this document should be provided to and signed off by Natural England prior to any construction taking place. We support Natural England’s request to attach planning conditions for the planting of the restored sand dunes with native species and the works are timed between January and March 2022 to protect breeding birds. There is no mention of any biodiversity enhancements as part of the proposal. The proposed works would need to achieve a biodiversity net gain to be in line with the Government’s 25 Year Environment Plan, the NERC Act 2006 (section 4</w:t>
            </w:r>
            <w:r w:rsidR="005C4E3F">
              <w:rPr>
                <w:sz w:val="18"/>
                <w:szCs w:val="18"/>
              </w:rPr>
              <w:t>)</w:t>
            </w:r>
          </w:p>
        </w:tc>
      </w:tr>
      <w:tr w:rsidR="00E60399" w:rsidRPr="003B2AB8" w14:paraId="7A498337" w14:textId="77777777" w:rsidTr="009076A0">
        <w:tc>
          <w:tcPr>
            <w:cnfStyle w:val="001000000000" w:firstRow="0" w:lastRow="0" w:firstColumn="1" w:lastColumn="0" w:oddVBand="0" w:evenVBand="0" w:oddHBand="0" w:evenHBand="0" w:firstRowFirstColumn="0" w:firstRowLastColumn="0" w:lastRowFirstColumn="0" w:lastRowLastColumn="0"/>
            <w:tcW w:w="1340" w:type="dxa"/>
          </w:tcPr>
          <w:p w14:paraId="016A097F" w14:textId="77777777" w:rsidR="00E60399" w:rsidRDefault="00E60399" w:rsidP="009076A0">
            <w:pPr>
              <w:pStyle w:val="Committeetemplate"/>
              <w:numPr>
                <w:ilvl w:val="0"/>
                <w:numId w:val="0"/>
              </w:numPr>
              <w:spacing w:line="276" w:lineRule="auto"/>
              <w:rPr>
                <w:b w:val="0"/>
                <w:spacing w:val="-20"/>
                <w:sz w:val="20"/>
                <w:szCs w:val="22"/>
              </w:rPr>
            </w:pPr>
            <w:r>
              <w:rPr>
                <w:b w:val="0"/>
                <w:spacing w:val="-20"/>
                <w:sz w:val="20"/>
                <w:szCs w:val="22"/>
              </w:rPr>
              <w:lastRenderedPageBreak/>
              <w:t>CIOS Highways</w:t>
            </w:r>
          </w:p>
        </w:tc>
        <w:tc>
          <w:tcPr>
            <w:tcW w:w="1217" w:type="dxa"/>
          </w:tcPr>
          <w:p w14:paraId="5BFAEE8E" w14:textId="77777777" w:rsidR="00E60399" w:rsidRPr="001035BC" w:rsidRDefault="00E60399" w:rsidP="009076A0">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13/08/2021</w:t>
            </w:r>
          </w:p>
        </w:tc>
        <w:tc>
          <w:tcPr>
            <w:tcW w:w="1271" w:type="dxa"/>
          </w:tcPr>
          <w:p w14:paraId="449E97E0" w14:textId="77777777" w:rsidR="00E60399" w:rsidRPr="003D2E9A" w:rsidRDefault="00E60399" w:rsidP="009076A0">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12/09/2021</w:t>
            </w:r>
          </w:p>
        </w:tc>
        <w:tc>
          <w:tcPr>
            <w:tcW w:w="1328" w:type="dxa"/>
          </w:tcPr>
          <w:p w14:paraId="13354CF6" w14:textId="77777777" w:rsidR="00E60399" w:rsidRDefault="00E60399" w:rsidP="009076A0">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09/09/2021</w:t>
            </w:r>
          </w:p>
        </w:tc>
        <w:tc>
          <w:tcPr>
            <w:tcW w:w="3775" w:type="dxa"/>
          </w:tcPr>
          <w:p w14:paraId="7ED63202" w14:textId="77777777" w:rsidR="00E60399" w:rsidRPr="00514865" w:rsidRDefault="00E60399" w:rsidP="009076A0">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18"/>
              </w:rPr>
            </w:pPr>
            <w:r w:rsidRPr="00514865">
              <w:rPr>
                <w:sz w:val="18"/>
                <w:szCs w:val="18"/>
              </w:rPr>
              <w:t>At the contractor’s access route point the highway is to remain open at all times during the duration of the works. The approach to and from the contractor's access route, via the highway, should be swept regularly to remove debris. Regular cleaning of any plant is recommended before traveling from the access route to reduce debris being transferred onto the highway.</w:t>
            </w:r>
          </w:p>
        </w:tc>
      </w:tr>
      <w:tr w:rsidR="00E60399" w:rsidRPr="003B2AB8" w14:paraId="6AE5894B" w14:textId="77777777" w:rsidTr="009076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0" w:type="dxa"/>
          </w:tcPr>
          <w:p w14:paraId="713BC4FF" w14:textId="77777777" w:rsidR="00E60399" w:rsidRDefault="00E60399" w:rsidP="009076A0">
            <w:pPr>
              <w:pStyle w:val="Committeetemplate"/>
              <w:numPr>
                <w:ilvl w:val="0"/>
                <w:numId w:val="0"/>
              </w:numPr>
              <w:spacing w:line="276" w:lineRule="auto"/>
              <w:rPr>
                <w:b w:val="0"/>
                <w:spacing w:val="-20"/>
                <w:sz w:val="20"/>
                <w:szCs w:val="22"/>
              </w:rPr>
            </w:pPr>
            <w:r>
              <w:rPr>
                <w:b w:val="0"/>
                <w:spacing w:val="-20"/>
                <w:sz w:val="20"/>
                <w:szCs w:val="22"/>
              </w:rPr>
              <w:t>AONB Partnership</w:t>
            </w:r>
          </w:p>
        </w:tc>
        <w:tc>
          <w:tcPr>
            <w:tcW w:w="1217" w:type="dxa"/>
          </w:tcPr>
          <w:p w14:paraId="1D0159C2" w14:textId="77777777" w:rsidR="00E60399" w:rsidRPr="001035BC" w:rsidRDefault="00E60399" w:rsidP="009076A0">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13/08/2021</w:t>
            </w:r>
          </w:p>
        </w:tc>
        <w:tc>
          <w:tcPr>
            <w:tcW w:w="1271" w:type="dxa"/>
          </w:tcPr>
          <w:p w14:paraId="57DD2956" w14:textId="77777777" w:rsidR="00E60399" w:rsidRPr="003D2E9A" w:rsidRDefault="00E60399" w:rsidP="009076A0">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12/09/2021</w:t>
            </w:r>
          </w:p>
        </w:tc>
        <w:tc>
          <w:tcPr>
            <w:tcW w:w="1328" w:type="dxa"/>
          </w:tcPr>
          <w:p w14:paraId="5A87BB7B" w14:textId="77777777" w:rsidR="00E60399" w:rsidRDefault="00E60399" w:rsidP="009076A0">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10/09/2021</w:t>
            </w:r>
          </w:p>
        </w:tc>
        <w:tc>
          <w:tcPr>
            <w:tcW w:w="3775" w:type="dxa"/>
          </w:tcPr>
          <w:p w14:paraId="24304576" w14:textId="77777777" w:rsidR="00E60399" w:rsidRPr="00514865" w:rsidRDefault="00E60399" w:rsidP="009076A0">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18"/>
              </w:rPr>
            </w:pPr>
            <w:r w:rsidRPr="00514865">
              <w:rPr>
                <w:sz w:val="18"/>
                <w:szCs w:val="18"/>
              </w:rPr>
              <w:t>I note the Environmental Statement has assessed the potential direct and indirect impacts of these proposed flood defence works on the local landscape, biodiversity and coastal processes, and where these impacts have been identified, actions have been recommended to minimize their significance which are welcomed. These proposals will protect the SSSI and freshwater habitats at Lower and Higher Moors, alongside the groundwater drinking water supplies, the latter of which are critical for the continued sustainability of St Mary’s. I note the proposed planning conditions suggested by Natural England in relation to native dune planting, the bird breeding season and biodiversity net gain associated with these planning applications and would support these recommendations.</w:t>
            </w:r>
          </w:p>
        </w:tc>
      </w:tr>
      <w:tr w:rsidR="00E60399" w:rsidRPr="003B2AB8" w14:paraId="3A7C8CE6" w14:textId="77777777" w:rsidTr="009076A0">
        <w:tc>
          <w:tcPr>
            <w:cnfStyle w:val="001000000000" w:firstRow="0" w:lastRow="0" w:firstColumn="1" w:lastColumn="0" w:oddVBand="0" w:evenVBand="0" w:oddHBand="0" w:evenHBand="0" w:firstRowFirstColumn="0" w:firstRowLastColumn="0" w:lastRowFirstColumn="0" w:lastRowLastColumn="0"/>
            <w:tcW w:w="1340" w:type="dxa"/>
          </w:tcPr>
          <w:p w14:paraId="02D102C1" w14:textId="77777777" w:rsidR="00E60399" w:rsidRDefault="00E60399" w:rsidP="009076A0">
            <w:pPr>
              <w:pStyle w:val="Committeetemplate"/>
              <w:numPr>
                <w:ilvl w:val="0"/>
                <w:numId w:val="0"/>
              </w:numPr>
              <w:spacing w:line="276" w:lineRule="auto"/>
              <w:rPr>
                <w:b w:val="0"/>
                <w:spacing w:val="-20"/>
                <w:sz w:val="20"/>
                <w:szCs w:val="22"/>
              </w:rPr>
            </w:pPr>
            <w:r>
              <w:rPr>
                <w:b w:val="0"/>
                <w:spacing w:val="-20"/>
                <w:sz w:val="20"/>
                <w:szCs w:val="22"/>
              </w:rPr>
              <w:t>Lead Local Flood Authority</w:t>
            </w:r>
          </w:p>
        </w:tc>
        <w:tc>
          <w:tcPr>
            <w:tcW w:w="1217" w:type="dxa"/>
          </w:tcPr>
          <w:p w14:paraId="27634702" w14:textId="77777777" w:rsidR="00E60399" w:rsidRPr="001035BC" w:rsidRDefault="00E60399" w:rsidP="009076A0">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13/08/2021</w:t>
            </w:r>
          </w:p>
        </w:tc>
        <w:tc>
          <w:tcPr>
            <w:tcW w:w="1271" w:type="dxa"/>
          </w:tcPr>
          <w:p w14:paraId="26A7E79B" w14:textId="77777777" w:rsidR="00E60399" w:rsidRPr="003D2E9A" w:rsidRDefault="00E60399" w:rsidP="009076A0">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12/09/2021</w:t>
            </w:r>
          </w:p>
        </w:tc>
        <w:tc>
          <w:tcPr>
            <w:tcW w:w="1328" w:type="dxa"/>
          </w:tcPr>
          <w:p w14:paraId="126CE18E" w14:textId="77777777" w:rsidR="00E60399" w:rsidRDefault="00E60399" w:rsidP="009076A0">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24/08/2021</w:t>
            </w:r>
          </w:p>
        </w:tc>
        <w:tc>
          <w:tcPr>
            <w:tcW w:w="3775" w:type="dxa"/>
          </w:tcPr>
          <w:p w14:paraId="7615B98F" w14:textId="049F4E82" w:rsidR="00E60399" w:rsidRPr="00514865" w:rsidRDefault="00E60399" w:rsidP="009076A0">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18"/>
              </w:rPr>
            </w:pPr>
            <w:r w:rsidRPr="00514865">
              <w:rPr>
                <w:sz w:val="18"/>
                <w:szCs w:val="18"/>
              </w:rPr>
              <w:t xml:space="preserve">Given the flood risk posed to the Isles of Scilly due to its low-lying nature and the likely increase in future flooding as a result of the effects of climate change, we welcome this application. </w:t>
            </w:r>
            <w:r w:rsidR="005C4E3F">
              <w:rPr>
                <w:sz w:val="18"/>
                <w:szCs w:val="18"/>
              </w:rPr>
              <w:t>T</w:t>
            </w:r>
            <w:r w:rsidR="005C4E3F" w:rsidRPr="005C4E3F">
              <w:rPr>
                <w:sz w:val="18"/>
                <w:szCs w:val="18"/>
              </w:rPr>
              <w:t xml:space="preserve">hese works will provide increased protection of homes, </w:t>
            </w:r>
            <w:r w:rsidR="005C4E3F" w:rsidRPr="005C4E3F">
              <w:rPr>
                <w:sz w:val="18"/>
                <w:szCs w:val="18"/>
              </w:rPr>
              <w:lastRenderedPageBreak/>
              <w:t>businesses and critical infrastructure including the natural environment, fresh water supplies, telecommunications, St Mary’s</w:t>
            </w:r>
            <w:r w:rsidR="005C4E3F">
              <w:rPr>
                <w:sz w:val="18"/>
                <w:szCs w:val="18"/>
              </w:rPr>
              <w:t xml:space="preserve"> </w:t>
            </w:r>
            <w:r w:rsidR="005C4E3F" w:rsidRPr="005C4E3F">
              <w:rPr>
                <w:sz w:val="18"/>
                <w:szCs w:val="18"/>
              </w:rPr>
              <w:t>Household Waste Recycling Centre, local emergency services (Cornwall and Isles of Scilly</w:t>
            </w:r>
            <w:r w:rsidR="005C4E3F">
              <w:rPr>
                <w:sz w:val="18"/>
                <w:szCs w:val="18"/>
              </w:rPr>
              <w:t xml:space="preserve"> </w:t>
            </w:r>
            <w:r w:rsidR="005C4E3F" w:rsidRPr="005C4E3F">
              <w:rPr>
                <w:sz w:val="18"/>
                <w:szCs w:val="18"/>
              </w:rPr>
              <w:t>Fire and Rescue Service and South West Ambulance NHS Foundation Trust) and local road</w:t>
            </w:r>
            <w:r w:rsidR="005C4E3F">
              <w:rPr>
                <w:sz w:val="18"/>
                <w:szCs w:val="18"/>
              </w:rPr>
              <w:t xml:space="preserve"> networks.</w:t>
            </w:r>
          </w:p>
        </w:tc>
      </w:tr>
      <w:tr w:rsidR="00E60399" w:rsidRPr="003B2AB8" w14:paraId="438B3F11" w14:textId="77777777" w:rsidTr="009076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0" w:type="dxa"/>
          </w:tcPr>
          <w:p w14:paraId="57362766" w14:textId="77777777" w:rsidR="00E60399" w:rsidRDefault="00E60399" w:rsidP="009076A0">
            <w:pPr>
              <w:pStyle w:val="Committeetemplate"/>
              <w:numPr>
                <w:ilvl w:val="0"/>
                <w:numId w:val="0"/>
              </w:numPr>
              <w:spacing w:line="276" w:lineRule="auto"/>
              <w:rPr>
                <w:b w:val="0"/>
                <w:spacing w:val="-20"/>
                <w:sz w:val="20"/>
                <w:szCs w:val="22"/>
              </w:rPr>
            </w:pPr>
            <w:r>
              <w:rPr>
                <w:b w:val="0"/>
                <w:spacing w:val="-20"/>
                <w:sz w:val="20"/>
                <w:szCs w:val="22"/>
              </w:rPr>
              <w:lastRenderedPageBreak/>
              <w:t>RSPB</w:t>
            </w:r>
          </w:p>
        </w:tc>
        <w:tc>
          <w:tcPr>
            <w:tcW w:w="1217" w:type="dxa"/>
          </w:tcPr>
          <w:p w14:paraId="539257B5" w14:textId="77777777" w:rsidR="00E60399" w:rsidRPr="001035BC" w:rsidRDefault="00E60399" w:rsidP="009076A0">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13/08/2021</w:t>
            </w:r>
          </w:p>
        </w:tc>
        <w:tc>
          <w:tcPr>
            <w:tcW w:w="1271" w:type="dxa"/>
          </w:tcPr>
          <w:p w14:paraId="303BAAEC" w14:textId="77777777" w:rsidR="00E60399" w:rsidRPr="003D2E9A" w:rsidRDefault="00E60399" w:rsidP="009076A0">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12/09/2021</w:t>
            </w:r>
          </w:p>
        </w:tc>
        <w:tc>
          <w:tcPr>
            <w:tcW w:w="1328" w:type="dxa"/>
          </w:tcPr>
          <w:p w14:paraId="7C18F659" w14:textId="77777777" w:rsidR="00E60399" w:rsidRDefault="00E60399" w:rsidP="009076A0">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t>
            </w:r>
          </w:p>
        </w:tc>
        <w:tc>
          <w:tcPr>
            <w:tcW w:w="3775" w:type="dxa"/>
          </w:tcPr>
          <w:p w14:paraId="64AFB3A2" w14:textId="77777777" w:rsidR="00E60399" w:rsidRPr="00514865" w:rsidRDefault="00E60399" w:rsidP="009076A0">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w:t>
            </w:r>
          </w:p>
        </w:tc>
      </w:tr>
      <w:tr w:rsidR="00E60399" w:rsidRPr="003B2AB8" w14:paraId="00E8E8BA" w14:textId="77777777" w:rsidTr="009076A0">
        <w:tc>
          <w:tcPr>
            <w:cnfStyle w:val="001000000000" w:firstRow="0" w:lastRow="0" w:firstColumn="1" w:lastColumn="0" w:oddVBand="0" w:evenVBand="0" w:oddHBand="0" w:evenHBand="0" w:firstRowFirstColumn="0" w:firstRowLastColumn="0" w:lastRowFirstColumn="0" w:lastRowLastColumn="0"/>
            <w:tcW w:w="1340" w:type="dxa"/>
          </w:tcPr>
          <w:p w14:paraId="4FFF5A9F" w14:textId="77777777" w:rsidR="00E60399" w:rsidRDefault="00E60399" w:rsidP="009076A0">
            <w:pPr>
              <w:pStyle w:val="Committeetemplate"/>
              <w:numPr>
                <w:ilvl w:val="0"/>
                <w:numId w:val="0"/>
              </w:numPr>
              <w:spacing w:line="276" w:lineRule="auto"/>
              <w:rPr>
                <w:b w:val="0"/>
                <w:spacing w:val="-20"/>
                <w:sz w:val="20"/>
                <w:szCs w:val="22"/>
              </w:rPr>
            </w:pPr>
            <w:r>
              <w:rPr>
                <w:b w:val="0"/>
                <w:spacing w:val="-20"/>
                <w:sz w:val="20"/>
                <w:szCs w:val="22"/>
              </w:rPr>
              <w:t>Marine Management Organisation</w:t>
            </w:r>
          </w:p>
        </w:tc>
        <w:tc>
          <w:tcPr>
            <w:tcW w:w="1217" w:type="dxa"/>
          </w:tcPr>
          <w:p w14:paraId="124471BD" w14:textId="77777777" w:rsidR="00E60399" w:rsidRPr="001035BC" w:rsidRDefault="00E60399" w:rsidP="009076A0">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13/08/2021</w:t>
            </w:r>
          </w:p>
        </w:tc>
        <w:tc>
          <w:tcPr>
            <w:tcW w:w="1271" w:type="dxa"/>
          </w:tcPr>
          <w:p w14:paraId="66CC0951" w14:textId="77777777" w:rsidR="00E60399" w:rsidRPr="003D2E9A" w:rsidRDefault="00E60399" w:rsidP="009076A0">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12/09/2021</w:t>
            </w:r>
          </w:p>
        </w:tc>
        <w:tc>
          <w:tcPr>
            <w:tcW w:w="1328" w:type="dxa"/>
          </w:tcPr>
          <w:p w14:paraId="3C8E6854" w14:textId="77777777" w:rsidR="00E60399" w:rsidRDefault="00E60399" w:rsidP="009076A0">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17/08/2021</w:t>
            </w:r>
          </w:p>
        </w:tc>
        <w:tc>
          <w:tcPr>
            <w:tcW w:w="3775" w:type="dxa"/>
          </w:tcPr>
          <w:p w14:paraId="3E453AAE" w14:textId="77777777" w:rsidR="00E60399" w:rsidRPr="00514865" w:rsidRDefault="00E60399" w:rsidP="009076A0">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Works below the Mean High Water Spring (MHWS) will require a license from the MMO. The works that require MMO consent at this site include the rock revetments and the loading/unloading of materials and equipment on to the beach.</w:t>
            </w:r>
          </w:p>
        </w:tc>
      </w:tr>
      <w:tr w:rsidR="00E60399" w:rsidRPr="003B2AB8" w14:paraId="5C5C221F" w14:textId="77777777" w:rsidTr="009076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0" w:type="dxa"/>
          </w:tcPr>
          <w:p w14:paraId="0234CDF0" w14:textId="77777777" w:rsidR="00E60399" w:rsidRDefault="00E60399" w:rsidP="009076A0">
            <w:pPr>
              <w:pStyle w:val="Committeetemplate"/>
              <w:numPr>
                <w:ilvl w:val="0"/>
                <w:numId w:val="0"/>
              </w:numPr>
              <w:spacing w:line="276" w:lineRule="auto"/>
              <w:rPr>
                <w:b w:val="0"/>
                <w:spacing w:val="-20"/>
                <w:sz w:val="20"/>
                <w:szCs w:val="22"/>
              </w:rPr>
            </w:pPr>
            <w:r>
              <w:rPr>
                <w:b w:val="0"/>
                <w:spacing w:val="-20"/>
                <w:sz w:val="20"/>
                <w:szCs w:val="22"/>
              </w:rPr>
              <w:t>CIOS Environmental Health</w:t>
            </w:r>
          </w:p>
        </w:tc>
        <w:tc>
          <w:tcPr>
            <w:tcW w:w="1217" w:type="dxa"/>
          </w:tcPr>
          <w:p w14:paraId="3ECD23AA" w14:textId="77777777" w:rsidR="00E60399" w:rsidRPr="001035BC" w:rsidRDefault="00E60399" w:rsidP="009076A0">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13/08/2021</w:t>
            </w:r>
          </w:p>
        </w:tc>
        <w:tc>
          <w:tcPr>
            <w:tcW w:w="1271" w:type="dxa"/>
          </w:tcPr>
          <w:p w14:paraId="5EDE0DED" w14:textId="77777777" w:rsidR="00E60399" w:rsidRPr="003D2E9A" w:rsidRDefault="00E60399" w:rsidP="009076A0">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12/09/2021</w:t>
            </w:r>
          </w:p>
        </w:tc>
        <w:tc>
          <w:tcPr>
            <w:tcW w:w="1328" w:type="dxa"/>
          </w:tcPr>
          <w:p w14:paraId="07C93489" w14:textId="77777777" w:rsidR="00E60399" w:rsidRDefault="00E60399" w:rsidP="009076A0">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t>
            </w:r>
          </w:p>
        </w:tc>
        <w:tc>
          <w:tcPr>
            <w:tcW w:w="3775" w:type="dxa"/>
          </w:tcPr>
          <w:p w14:paraId="4CF133C6" w14:textId="77777777" w:rsidR="00E60399" w:rsidRPr="00514865" w:rsidRDefault="00E60399" w:rsidP="009076A0">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w:t>
            </w:r>
          </w:p>
        </w:tc>
      </w:tr>
    </w:tbl>
    <w:p w14:paraId="5595EE61" w14:textId="77777777" w:rsidR="00E60399" w:rsidRDefault="00E60399" w:rsidP="00E60399">
      <w:pPr>
        <w:pStyle w:val="Committeetemplate"/>
        <w:numPr>
          <w:ilvl w:val="0"/>
          <w:numId w:val="0"/>
        </w:numPr>
        <w:ind w:left="567"/>
      </w:pPr>
    </w:p>
    <w:p w14:paraId="73E6E763" w14:textId="77777777" w:rsidR="00E60399" w:rsidRPr="0091553E" w:rsidRDefault="00E60399" w:rsidP="00E60399">
      <w:pPr>
        <w:pStyle w:val="Committeetemplate"/>
        <w:ind w:left="567" w:hanging="567"/>
        <w:rPr>
          <w:b/>
          <w:bCs/>
        </w:rPr>
      </w:pPr>
      <w:r w:rsidRPr="0091553E">
        <w:rPr>
          <w:b/>
          <w:bCs/>
        </w:rPr>
        <w:t>Primary Legislation and Planning Policy</w:t>
      </w:r>
    </w:p>
    <w:p w14:paraId="7C47AD3C" w14:textId="77777777" w:rsidR="00E60399" w:rsidRPr="00BC3024" w:rsidRDefault="00E60399" w:rsidP="00E60399">
      <w:pPr>
        <w:pStyle w:val="Committeetemplate"/>
        <w:numPr>
          <w:ilvl w:val="0"/>
          <w:numId w:val="0"/>
        </w:numPr>
        <w:ind w:left="567"/>
        <w:rPr>
          <w:rFonts w:ascii="Calibri" w:hAnsi="Calibri"/>
          <w:b/>
          <w:spacing w:val="-20"/>
          <w:sz w:val="26"/>
          <w:szCs w:val="26"/>
        </w:rPr>
      </w:pPr>
      <w:r w:rsidRPr="00BC3024">
        <w:rPr>
          <w:rFonts w:ascii="Calibri" w:hAnsi="Calibri"/>
          <w:b/>
          <w:spacing w:val="-20"/>
          <w:sz w:val="26"/>
          <w:szCs w:val="26"/>
        </w:rPr>
        <w:t>Primary Legislation</w:t>
      </w:r>
    </w:p>
    <w:tbl>
      <w:tblPr>
        <w:tblStyle w:val="PlainTable1"/>
        <w:tblW w:w="8931" w:type="dxa"/>
        <w:tblInd w:w="562" w:type="dxa"/>
        <w:tblLook w:val="04A0" w:firstRow="1" w:lastRow="0" w:firstColumn="1" w:lastColumn="0" w:noHBand="0" w:noVBand="1"/>
      </w:tblPr>
      <w:tblGrid>
        <w:gridCol w:w="3119"/>
        <w:gridCol w:w="5812"/>
      </w:tblGrid>
      <w:tr w:rsidR="00E60399" w14:paraId="0DEC8D45" w14:textId="77777777" w:rsidTr="009076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64CDC2C4" w14:textId="77777777" w:rsidR="00E60399" w:rsidRPr="003B2AB8" w:rsidRDefault="00E60399" w:rsidP="009076A0">
            <w:pPr>
              <w:pStyle w:val="Committeetemplate"/>
              <w:numPr>
                <w:ilvl w:val="0"/>
                <w:numId w:val="0"/>
              </w:numPr>
              <w:spacing w:line="276" w:lineRule="auto"/>
              <w:ind w:left="57" w:hanging="57"/>
              <w:rPr>
                <w:b w:val="0"/>
                <w:spacing w:val="-20"/>
                <w:sz w:val="20"/>
                <w:szCs w:val="22"/>
              </w:rPr>
            </w:pPr>
            <w:r w:rsidRPr="003B2AB8">
              <w:rPr>
                <w:spacing w:val="-20"/>
                <w:sz w:val="20"/>
                <w:szCs w:val="22"/>
              </w:rPr>
              <w:t>The Town and Country Planning Act 1990</w:t>
            </w:r>
          </w:p>
        </w:tc>
        <w:tc>
          <w:tcPr>
            <w:tcW w:w="5812" w:type="dxa"/>
          </w:tcPr>
          <w:p w14:paraId="44B5CFAA" w14:textId="77777777" w:rsidR="00E60399" w:rsidRPr="00E7078A" w:rsidRDefault="00E60399" w:rsidP="009076A0">
            <w:pPr>
              <w:pStyle w:val="Committeetemplate"/>
              <w:numPr>
                <w:ilvl w:val="0"/>
                <w:numId w:val="0"/>
              </w:numPr>
              <w:spacing w:line="276" w:lineRule="auto"/>
              <w:cnfStyle w:val="100000000000" w:firstRow="1" w:lastRow="0" w:firstColumn="0" w:lastColumn="0" w:oddVBand="0" w:evenVBand="0" w:oddHBand="0" w:evenHBand="0" w:firstRowFirstColumn="0" w:firstRowLastColumn="0" w:lastRowFirstColumn="0" w:lastRowLastColumn="0"/>
              <w:rPr>
                <w:b w:val="0"/>
                <w:bCs w:val="0"/>
                <w:sz w:val="18"/>
                <w:szCs w:val="18"/>
                <w:lang w:eastAsia="en-GB"/>
              </w:rPr>
            </w:pPr>
            <w:r w:rsidRPr="00E7078A">
              <w:rPr>
                <w:b w:val="0"/>
                <w:bCs w:val="0"/>
                <w:sz w:val="18"/>
                <w:szCs w:val="18"/>
                <w:lang w:eastAsia="en-GB"/>
              </w:rPr>
              <w:t>Section 70(2) of the Planning Act requires the Local Planning Authority to have regard to the development plan, so far as material to the application, and any other material considerations when determination planning applications.</w:t>
            </w:r>
          </w:p>
        </w:tc>
      </w:tr>
      <w:tr w:rsidR="00E60399" w:rsidRPr="003B2AB8" w14:paraId="6E20A072" w14:textId="77777777" w:rsidTr="009076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46F441BE" w14:textId="77777777" w:rsidR="00E60399" w:rsidRPr="003B2AB8" w:rsidRDefault="00E60399" w:rsidP="009076A0">
            <w:pPr>
              <w:pStyle w:val="Committeetemplate"/>
              <w:numPr>
                <w:ilvl w:val="0"/>
                <w:numId w:val="0"/>
              </w:numPr>
              <w:spacing w:line="276" w:lineRule="auto"/>
              <w:rPr>
                <w:b w:val="0"/>
                <w:spacing w:val="-20"/>
                <w:sz w:val="20"/>
                <w:szCs w:val="22"/>
              </w:rPr>
            </w:pPr>
            <w:r w:rsidRPr="003B2AB8">
              <w:rPr>
                <w:spacing w:val="-20"/>
                <w:sz w:val="20"/>
                <w:szCs w:val="22"/>
              </w:rPr>
              <w:t>The Planning (Listed Buildings and Conservation Area) Act 1990</w:t>
            </w:r>
          </w:p>
          <w:p w14:paraId="238B0046" w14:textId="77777777" w:rsidR="00E60399" w:rsidRPr="003B2AB8" w:rsidRDefault="00E60399" w:rsidP="009076A0">
            <w:pPr>
              <w:pStyle w:val="Committeetemplate"/>
              <w:numPr>
                <w:ilvl w:val="0"/>
                <w:numId w:val="0"/>
              </w:numPr>
              <w:spacing w:line="276" w:lineRule="auto"/>
              <w:ind w:left="57" w:hanging="57"/>
              <w:rPr>
                <w:b w:val="0"/>
                <w:spacing w:val="-20"/>
                <w:sz w:val="20"/>
                <w:szCs w:val="22"/>
              </w:rPr>
            </w:pPr>
          </w:p>
        </w:tc>
        <w:tc>
          <w:tcPr>
            <w:tcW w:w="5812" w:type="dxa"/>
          </w:tcPr>
          <w:p w14:paraId="269646A3" w14:textId="77777777" w:rsidR="00E60399" w:rsidRPr="00E7078A" w:rsidRDefault="00E60399" w:rsidP="009076A0">
            <w:pPr>
              <w:pStyle w:val="Committeetemplate"/>
              <w:numPr>
                <w:ilvl w:val="0"/>
                <w:numId w:val="0"/>
              </w:numPr>
              <w:spacing w:line="276" w:lineRule="auto"/>
              <w:ind w:left="57" w:hanging="57"/>
              <w:cnfStyle w:val="000000100000" w:firstRow="0" w:lastRow="0" w:firstColumn="0" w:lastColumn="0" w:oddVBand="0" w:evenVBand="0" w:oddHBand="1" w:evenHBand="0" w:firstRowFirstColumn="0" w:firstRowLastColumn="0" w:lastRowFirstColumn="0" w:lastRowLastColumn="0"/>
              <w:rPr>
                <w:sz w:val="18"/>
                <w:szCs w:val="18"/>
              </w:rPr>
            </w:pPr>
            <w:r w:rsidRPr="00E7078A">
              <w:rPr>
                <w:sz w:val="18"/>
                <w:szCs w:val="18"/>
              </w:rPr>
              <w:t xml:space="preserve">The site is within a Conservation Area where there is a requirement to ensure that any development preserves or enhances the character or appearance of the area, as embodied in Section 72 of the Planning (Listed Buildings and Conservation Area) Act 1990.  </w:t>
            </w:r>
          </w:p>
        </w:tc>
      </w:tr>
      <w:tr w:rsidR="00E60399" w:rsidRPr="003B2AB8" w14:paraId="61D66D0F" w14:textId="77777777" w:rsidTr="009076A0">
        <w:tc>
          <w:tcPr>
            <w:cnfStyle w:val="001000000000" w:firstRow="0" w:lastRow="0" w:firstColumn="1" w:lastColumn="0" w:oddVBand="0" w:evenVBand="0" w:oddHBand="0" w:evenHBand="0" w:firstRowFirstColumn="0" w:firstRowLastColumn="0" w:lastRowFirstColumn="0" w:lastRowLastColumn="0"/>
            <w:tcW w:w="3119" w:type="dxa"/>
          </w:tcPr>
          <w:p w14:paraId="74B82F52" w14:textId="77777777" w:rsidR="00E60399" w:rsidRPr="003B2AB8" w:rsidRDefault="00E60399" w:rsidP="009076A0">
            <w:pPr>
              <w:pStyle w:val="Committeetemplate"/>
              <w:numPr>
                <w:ilvl w:val="0"/>
                <w:numId w:val="0"/>
              </w:numPr>
              <w:spacing w:line="276" w:lineRule="auto"/>
              <w:rPr>
                <w:b w:val="0"/>
                <w:spacing w:val="-20"/>
                <w:sz w:val="20"/>
                <w:szCs w:val="22"/>
              </w:rPr>
            </w:pPr>
            <w:r w:rsidRPr="003B2AB8">
              <w:rPr>
                <w:spacing w:val="-20"/>
                <w:sz w:val="20"/>
                <w:szCs w:val="22"/>
              </w:rPr>
              <w:t>The Countryside and Rights of Way Act 2000</w:t>
            </w:r>
          </w:p>
        </w:tc>
        <w:tc>
          <w:tcPr>
            <w:tcW w:w="5812" w:type="dxa"/>
          </w:tcPr>
          <w:p w14:paraId="58FC4B02" w14:textId="77777777" w:rsidR="00E60399" w:rsidRPr="00E7078A" w:rsidRDefault="00E60399" w:rsidP="009076A0">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18"/>
              </w:rPr>
            </w:pPr>
            <w:r w:rsidRPr="00E7078A">
              <w:rPr>
                <w:sz w:val="18"/>
                <w:szCs w:val="18"/>
              </w:rPr>
              <w:t>The Isles of Scilly is also a designated Area of Outstanding Natural Beauty (AONB). The legal framework for such areas is provided by the Countryside and Rights of Way Act 2000.  The Act places a statutory duty on the Local Authority to have regard to the purpose of conserving and enhancing the natural beauty of the AONB when exercising or performing any functions affecting land within it.</w:t>
            </w:r>
          </w:p>
        </w:tc>
      </w:tr>
      <w:tr w:rsidR="00E60399" w:rsidRPr="003B2AB8" w14:paraId="0B08D3CA" w14:textId="77777777" w:rsidTr="009076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7A22B069" w14:textId="77777777" w:rsidR="00E60399" w:rsidRPr="003B2AB8" w:rsidRDefault="00E60399" w:rsidP="009076A0">
            <w:pPr>
              <w:pStyle w:val="Committeetemplate"/>
              <w:numPr>
                <w:ilvl w:val="0"/>
                <w:numId w:val="0"/>
              </w:numPr>
              <w:spacing w:line="276" w:lineRule="auto"/>
              <w:rPr>
                <w:b w:val="0"/>
                <w:spacing w:val="-20"/>
                <w:sz w:val="20"/>
                <w:szCs w:val="22"/>
              </w:rPr>
            </w:pPr>
            <w:r w:rsidRPr="003B2AB8">
              <w:rPr>
                <w:spacing w:val="-20"/>
                <w:sz w:val="20"/>
                <w:szCs w:val="22"/>
              </w:rPr>
              <w:t xml:space="preserve">The Conservation of Habitats and Species Regulations 2017 </w:t>
            </w:r>
          </w:p>
        </w:tc>
        <w:tc>
          <w:tcPr>
            <w:tcW w:w="5812" w:type="dxa"/>
          </w:tcPr>
          <w:p w14:paraId="1FD6B5CA" w14:textId="77777777" w:rsidR="00E60399" w:rsidRPr="00E7078A" w:rsidRDefault="00E60399" w:rsidP="009076A0">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18"/>
              </w:rPr>
            </w:pPr>
            <w:r w:rsidRPr="00E7078A">
              <w:rPr>
                <w:sz w:val="18"/>
                <w:szCs w:val="18"/>
              </w:rPr>
              <w:t xml:space="preserve">It is a legal duty of a Local Planning Authority, when determining a planning application for a development, to assess the impact on European Protected Species ("EPS"), such as bats, great crested newts, dormice or otters. </w:t>
            </w:r>
          </w:p>
        </w:tc>
      </w:tr>
      <w:tr w:rsidR="00E60399" w:rsidRPr="003B2AB8" w14:paraId="54052321" w14:textId="77777777" w:rsidTr="009076A0">
        <w:tc>
          <w:tcPr>
            <w:cnfStyle w:val="001000000000" w:firstRow="0" w:lastRow="0" w:firstColumn="1" w:lastColumn="0" w:oddVBand="0" w:evenVBand="0" w:oddHBand="0" w:evenHBand="0" w:firstRowFirstColumn="0" w:firstRowLastColumn="0" w:lastRowFirstColumn="0" w:lastRowLastColumn="0"/>
            <w:tcW w:w="3119" w:type="dxa"/>
          </w:tcPr>
          <w:p w14:paraId="6CB191D8" w14:textId="77777777" w:rsidR="00E60399" w:rsidRPr="003B2AB8" w:rsidRDefault="00E60399" w:rsidP="009076A0">
            <w:pPr>
              <w:pStyle w:val="Committeetemplate"/>
              <w:numPr>
                <w:ilvl w:val="0"/>
                <w:numId w:val="0"/>
              </w:numPr>
              <w:spacing w:line="276" w:lineRule="auto"/>
              <w:rPr>
                <w:spacing w:val="-20"/>
                <w:sz w:val="20"/>
                <w:szCs w:val="22"/>
              </w:rPr>
            </w:pPr>
            <w:r>
              <w:rPr>
                <w:spacing w:val="-20"/>
                <w:sz w:val="20"/>
                <w:szCs w:val="22"/>
              </w:rPr>
              <w:t>The Conservation of Offshore Marine Habitats and Species Regulations 2017</w:t>
            </w:r>
          </w:p>
        </w:tc>
        <w:tc>
          <w:tcPr>
            <w:tcW w:w="5812" w:type="dxa"/>
          </w:tcPr>
          <w:p w14:paraId="733504C6" w14:textId="77777777" w:rsidR="00E60399" w:rsidRPr="00E7078A" w:rsidRDefault="00E60399" w:rsidP="009076A0">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18"/>
              </w:rPr>
            </w:pPr>
            <w:r w:rsidRPr="00E7078A">
              <w:rPr>
                <w:sz w:val="18"/>
                <w:szCs w:val="18"/>
              </w:rPr>
              <w:t>This legislation implements the species protection requirements of the Habitats and Birds Directives offshore (more than 12 nautical miles from the coast).</w:t>
            </w:r>
          </w:p>
        </w:tc>
      </w:tr>
      <w:tr w:rsidR="00E60399" w:rsidRPr="003B2AB8" w14:paraId="019A5E45" w14:textId="77777777" w:rsidTr="009076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642184EC" w14:textId="77777777" w:rsidR="00E60399" w:rsidRDefault="00E60399" w:rsidP="009076A0">
            <w:pPr>
              <w:pStyle w:val="Committeetemplate"/>
              <w:numPr>
                <w:ilvl w:val="0"/>
                <w:numId w:val="0"/>
              </w:numPr>
              <w:spacing w:line="276" w:lineRule="auto"/>
              <w:rPr>
                <w:spacing w:val="-20"/>
                <w:sz w:val="20"/>
                <w:szCs w:val="22"/>
              </w:rPr>
            </w:pPr>
            <w:r>
              <w:rPr>
                <w:spacing w:val="-20"/>
                <w:sz w:val="20"/>
                <w:szCs w:val="22"/>
              </w:rPr>
              <w:t>Marine and Coastal Access Act 2009</w:t>
            </w:r>
          </w:p>
        </w:tc>
        <w:tc>
          <w:tcPr>
            <w:tcW w:w="5812" w:type="dxa"/>
          </w:tcPr>
          <w:p w14:paraId="74F54D10" w14:textId="77777777" w:rsidR="00E60399" w:rsidRPr="00E7078A" w:rsidRDefault="00E60399" w:rsidP="009076A0">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18"/>
              </w:rPr>
            </w:pPr>
            <w:r w:rsidRPr="00E7078A">
              <w:rPr>
                <w:sz w:val="18"/>
                <w:szCs w:val="18"/>
              </w:rPr>
              <w:t>This requires public authorities to make decisions in accordance with marine policy documents and if it takes a decision that is against these policies it must state its reasons. MMO as such are responsible for implementing the relevant Marine Plans for their area, through existing regulatory and decision-making processes.</w:t>
            </w:r>
          </w:p>
        </w:tc>
      </w:tr>
      <w:tr w:rsidR="0032456E" w:rsidRPr="003B2AB8" w14:paraId="44BEB067" w14:textId="77777777" w:rsidTr="009076A0">
        <w:tc>
          <w:tcPr>
            <w:cnfStyle w:val="001000000000" w:firstRow="0" w:lastRow="0" w:firstColumn="1" w:lastColumn="0" w:oddVBand="0" w:evenVBand="0" w:oddHBand="0" w:evenHBand="0" w:firstRowFirstColumn="0" w:firstRowLastColumn="0" w:lastRowFirstColumn="0" w:lastRowLastColumn="0"/>
            <w:tcW w:w="3119" w:type="dxa"/>
          </w:tcPr>
          <w:p w14:paraId="32DA6F29" w14:textId="0B8B1248" w:rsidR="0032456E" w:rsidRDefault="0032456E" w:rsidP="009076A0">
            <w:pPr>
              <w:pStyle w:val="Committeetemplate"/>
              <w:numPr>
                <w:ilvl w:val="0"/>
                <w:numId w:val="0"/>
              </w:numPr>
              <w:spacing w:line="276" w:lineRule="auto"/>
              <w:rPr>
                <w:spacing w:val="-20"/>
                <w:sz w:val="20"/>
                <w:szCs w:val="22"/>
              </w:rPr>
            </w:pPr>
            <w:r>
              <w:rPr>
                <w:spacing w:val="-20"/>
                <w:sz w:val="20"/>
                <w:szCs w:val="22"/>
              </w:rPr>
              <w:t>The Town and Country Planning (Environmental Impact Assessment) Regulations 2017</w:t>
            </w:r>
          </w:p>
        </w:tc>
        <w:tc>
          <w:tcPr>
            <w:tcW w:w="5812" w:type="dxa"/>
          </w:tcPr>
          <w:p w14:paraId="00E74E97" w14:textId="6D81E67E" w:rsidR="0032456E" w:rsidRPr="00E7078A" w:rsidRDefault="0032456E" w:rsidP="009076A0">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18"/>
              </w:rPr>
            </w:pPr>
            <w:r w:rsidRPr="00E7078A">
              <w:rPr>
                <w:sz w:val="18"/>
                <w:szCs w:val="18"/>
              </w:rPr>
              <w:t xml:space="preserve">The aim of Environmental Impact Assessment is to protect the environment by ensuring that a local planning authority when deciding whether to grant planning permission for a project, which is likely to have significant effects on the environment, does so in the full knowledge of the likely significant effects, and takes this into account in the decision making process. The regulations set out a procedure for identifying those projects which should be subject to an </w:t>
            </w:r>
            <w:r w:rsidRPr="00E7078A">
              <w:rPr>
                <w:sz w:val="18"/>
                <w:szCs w:val="18"/>
              </w:rPr>
              <w:lastRenderedPageBreak/>
              <w:t>Environmental Impact Assessment, and for assessing, consulting and coming to a decision on those projects which are likely to have significant environmental effects.</w:t>
            </w:r>
          </w:p>
        </w:tc>
      </w:tr>
    </w:tbl>
    <w:p w14:paraId="1A1F2F7F" w14:textId="77777777" w:rsidR="00E60399" w:rsidRPr="0091553E" w:rsidRDefault="00E60399" w:rsidP="00E60399">
      <w:pPr>
        <w:pStyle w:val="Committeetemplate"/>
        <w:numPr>
          <w:ilvl w:val="0"/>
          <w:numId w:val="0"/>
        </w:numPr>
        <w:ind w:left="360"/>
      </w:pPr>
    </w:p>
    <w:p w14:paraId="396DD7FB" w14:textId="77777777" w:rsidR="00E60399" w:rsidRPr="002E7A39" w:rsidRDefault="00E60399" w:rsidP="00E60399">
      <w:pPr>
        <w:pStyle w:val="ListParagraph"/>
        <w:spacing w:line="276" w:lineRule="auto"/>
        <w:ind w:left="567" w:firstLine="0"/>
        <w:rPr>
          <w:b/>
          <w:spacing w:val="-20"/>
          <w:sz w:val="26"/>
          <w:szCs w:val="26"/>
        </w:rPr>
      </w:pPr>
      <w:r w:rsidRPr="002E7A39">
        <w:rPr>
          <w:b/>
          <w:spacing w:val="-20"/>
          <w:sz w:val="26"/>
          <w:szCs w:val="26"/>
        </w:rPr>
        <w:t>Planning Policy</w:t>
      </w:r>
    </w:p>
    <w:p w14:paraId="46038A0B" w14:textId="77777777" w:rsidR="00E60399" w:rsidRPr="0091553E" w:rsidRDefault="00E60399" w:rsidP="00E60399">
      <w:pPr>
        <w:pStyle w:val="Committeetemplate"/>
        <w:ind w:left="567" w:hanging="567"/>
        <w:rPr>
          <w:b/>
          <w:spacing w:val="-20"/>
          <w:szCs w:val="28"/>
        </w:rPr>
      </w:pPr>
      <w:r w:rsidRPr="004242E3">
        <w:rPr>
          <w:b/>
          <w:spacing w:val="-20"/>
          <w:szCs w:val="28"/>
        </w:rPr>
        <w:t>National Plann</w:t>
      </w:r>
      <w:r>
        <w:rPr>
          <w:b/>
          <w:spacing w:val="-20"/>
          <w:szCs w:val="28"/>
        </w:rPr>
        <w:t xml:space="preserve">ing Policy Framework (NPPF) 2019.  </w:t>
      </w:r>
      <w:r>
        <w:t xml:space="preserve">At the heart of the NPPF is a presumption in favour of sustainable development. The NPPF does not change the statutory status of the development plan as the starting point for decision making. Proposed development that accords with an up-to-date Local Plan should be approved and proposed development that conflicts should be refused unless other material considerations indicate otherwise.  </w:t>
      </w:r>
    </w:p>
    <w:p w14:paraId="10D39FAA" w14:textId="77777777" w:rsidR="00E60399" w:rsidRDefault="00E60399" w:rsidP="00E60399">
      <w:pPr>
        <w:pStyle w:val="Committeetemplate"/>
        <w:numPr>
          <w:ilvl w:val="0"/>
          <w:numId w:val="0"/>
        </w:numPr>
        <w:ind w:left="567"/>
        <w:rPr>
          <w:b/>
          <w:spacing w:val="-20"/>
          <w:szCs w:val="28"/>
        </w:rPr>
      </w:pPr>
    </w:p>
    <w:p w14:paraId="21A1042B" w14:textId="77777777" w:rsidR="00E60399" w:rsidRPr="0091553E" w:rsidRDefault="00E60399" w:rsidP="00E60399">
      <w:pPr>
        <w:pStyle w:val="Committeetemplate"/>
        <w:ind w:left="567" w:hanging="567"/>
        <w:rPr>
          <w:b/>
          <w:spacing w:val="-20"/>
          <w:szCs w:val="28"/>
        </w:rPr>
      </w:pPr>
      <w:r>
        <w:t xml:space="preserve">Chapter 15 of the NPPF relates to the conservation and enhancement of the natural environment.  Paragraph 172 advises that great weight should be given to conserving the landscape and scenic beauty in Areas of Outstanding Natural Beauty, which have the highest status of protection.  The conservation of wildlife and cultural heritage are important considerations. </w:t>
      </w:r>
    </w:p>
    <w:p w14:paraId="39299D12" w14:textId="77777777" w:rsidR="00E60399" w:rsidRDefault="00E60399" w:rsidP="00E60399">
      <w:pPr>
        <w:pStyle w:val="Committeetemplate"/>
        <w:numPr>
          <w:ilvl w:val="0"/>
          <w:numId w:val="0"/>
        </w:numPr>
        <w:ind w:left="567"/>
        <w:rPr>
          <w:b/>
          <w:spacing w:val="-20"/>
          <w:szCs w:val="28"/>
        </w:rPr>
      </w:pPr>
    </w:p>
    <w:p w14:paraId="7E005BD5" w14:textId="4E7E1128" w:rsidR="00E60399" w:rsidRPr="004C4E8B" w:rsidRDefault="00E60399" w:rsidP="00E60399">
      <w:pPr>
        <w:pStyle w:val="Committeetemplate"/>
        <w:ind w:left="567" w:hanging="567"/>
        <w:rPr>
          <w:b/>
          <w:spacing w:val="-20"/>
          <w:szCs w:val="28"/>
        </w:rPr>
      </w:pPr>
      <w:r>
        <w:t>In terms of the general approach to making effective use of land then paragraph 118 specifically seeks to ensure the planning decisions should (b) recognise that some undeveloped land can perform many functions, such as…flood risk mitigation… Additionally chapter 14 is about ensuring development addresses the challenge of climate change, flooding and coastal change.  Where development is necessary in such areas, the development should be made safe for its lifetime without increasing flood risk elsewhere.</w:t>
      </w:r>
    </w:p>
    <w:p w14:paraId="6ECFF1BD" w14:textId="77777777" w:rsidR="00E60399" w:rsidRPr="004C4E8B" w:rsidRDefault="00E60399" w:rsidP="00E60399">
      <w:pPr>
        <w:pStyle w:val="Committeetemplate"/>
        <w:numPr>
          <w:ilvl w:val="0"/>
          <w:numId w:val="0"/>
        </w:numPr>
        <w:ind w:left="567"/>
        <w:rPr>
          <w:b/>
          <w:spacing w:val="-20"/>
          <w:szCs w:val="28"/>
        </w:rPr>
      </w:pPr>
    </w:p>
    <w:p w14:paraId="3A79C723" w14:textId="77777777" w:rsidR="00E60399" w:rsidRDefault="00E60399" w:rsidP="00E60399">
      <w:pPr>
        <w:pStyle w:val="Committeetemplate"/>
        <w:ind w:left="567" w:hanging="567"/>
      </w:pPr>
      <w:r w:rsidRPr="004C4E8B">
        <w:rPr>
          <w:b/>
          <w:spacing w:val="-20"/>
          <w:szCs w:val="28"/>
        </w:rPr>
        <w:t>South West Marine Plan</w:t>
      </w:r>
      <w:r>
        <w:rPr>
          <w:b/>
          <w:spacing w:val="-20"/>
          <w:szCs w:val="28"/>
        </w:rPr>
        <w:t xml:space="preserve"> (2021)</w:t>
      </w:r>
      <w:r w:rsidRPr="004C4E8B">
        <w:rPr>
          <w:b/>
          <w:spacing w:val="-20"/>
          <w:szCs w:val="28"/>
        </w:rPr>
        <w:t xml:space="preserve">. </w:t>
      </w:r>
      <w:r w:rsidRPr="004C4E8B">
        <w:t>The South West Marine Plan</w:t>
      </w:r>
      <w:r>
        <w:t>, hereinafter referred to as the ‘Marine Plan’,</w:t>
      </w:r>
      <w:r w:rsidRPr="004C4E8B">
        <w:t xml:space="preserve"> must be used for all planning decisions for the sea, coast, estuaries and tidal waters (which sometimes extend a long distance inland), as well as developments that impact these areas, such as infrastructure. All public authorities are responsible for implementing the South West Marine Plan through existing regulatory and decision-making processes.</w:t>
      </w:r>
      <w:r>
        <w:t xml:space="preserve"> A </w:t>
      </w:r>
      <w:r w:rsidRPr="0091553E">
        <w:rPr>
          <w:b/>
        </w:rPr>
        <w:t>link (2)</w:t>
      </w:r>
      <w:r>
        <w:t xml:space="preserve"> below provides access to the South West Marine Plan (2021).The key policies relevant to the proposed works include:</w:t>
      </w:r>
    </w:p>
    <w:p w14:paraId="6CD95DB5" w14:textId="77777777" w:rsidR="00E60399" w:rsidRDefault="00E60399" w:rsidP="00E60399">
      <w:pPr>
        <w:pStyle w:val="Committeetemplate"/>
        <w:numPr>
          <w:ilvl w:val="0"/>
          <w:numId w:val="0"/>
        </w:numPr>
        <w:ind w:left="567"/>
      </w:pPr>
    </w:p>
    <w:p w14:paraId="69ECDA58" w14:textId="77777777" w:rsidR="00E60399" w:rsidRDefault="00E60399" w:rsidP="00E60399">
      <w:pPr>
        <w:pStyle w:val="Committeetemplate"/>
        <w:ind w:left="567" w:hanging="567"/>
      </w:pPr>
      <w:r w:rsidRPr="004C4E8B">
        <w:rPr>
          <w:b/>
          <w:bCs/>
        </w:rPr>
        <w:t>Climate Change SW-CC-1:</w:t>
      </w:r>
      <w:r>
        <w:t xml:space="preserve"> Proposals that conserve, restore or enhance habitats that provide flood defence or carbon sequestration will be supported. Proposals that may have significant adverse impacts on habitats that provide a flood defence or carbon sequestration ecosystem service must demonstrate that they will, in order of preference: avoid; minimise, mitigate - adverse impacts so they are no longer significant compensate for significant adverse impacts that cannot be mitigated. </w:t>
      </w:r>
    </w:p>
    <w:p w14:paraId="3E8149E5" w14:textId="77777777" w:rsidR="00E60399" w:rsidRDefault="00E60399" w:rsidP="00E60399">
      <w:pPr>
        <w:pStyle w:val="Committeetemplate"/>
        <w:numPr>
          <w:ilvl w:val="0"/>
          <w:numId w:val="0"/>
        </w:numPr>
        <w:ind w:left="567"/>
      </w:pPr>
    </w:p>
    <w:p w14:paraId="00FCAD90" w14:textId="77777777" w:rsidR="00E60399" w:rsidRDefault="00E60399" w:rsidP="00E60399">
      <w:pPr>
        <w:pStyle w:val="Committeetemplate"/>
        <w:ind w:left="567" w:hanging="567"/>
      </w:pPr>
      <w:r w:rsidRPr="004C4E8B">
        <w:rPr>
          <w:b/>
          <w:bCs/>
        </w:rPr>
        <w:lastRenderedPageBreak/>
        <w:t>Climate Change SW-CC-2:</w:t>
      </w:r>
      <w:r>
        <w:t xml:space="preserve"> Proposals should demonstrate for the lifetime of the project that they are resilient to the impacts of climate change and coastal change. </w:t>
      </w:r>
    </w:p>
    <w:p w14:paraId="789B18D8" w14:textId="77777777" w:rsidR="00E60399" w:rsidRDefault="00E60399" w:rsidP="00E60399">
      <w:pPr>
        <w:pStyle w:val="Committeetemplate"/>
        <w:numPr>
          <w:ilvl w:val="0"/>
          <w:numId w:val="0"/>
        </w:numPr>
        <w:ind w:left="567"/>
      </w:pPr>
    </w:p>
    <w:p w14:paraId="711504C3" w14:textId="77777777" w:rsidR="00E60399" w:rsidRDefault="00E60399" w:rsidP="00E60399">
      <w:pPr>
        <w:pStyle w:val="Committeetemplate"/>
        <w:ind w:left="567" w:hanging="567"/>
      </w:pPr>
      <w:r w:rsidRPr="004C4E8B">
        <w:rPr>
          <w:b/>
          <w:bCs/>
        </w:rPr>
        <w:t>Climate Change SW-CC-3:</w:t>
      </w:r>
      <w:r>
        <w:t xml:space="preserve"> Proposals that are likely to have significant adverse impacts on coastal change, or on climate change adaptation measures inside and outside of the proposed project areas, should only be supported if they can demonstrate that they will, in order of preference: avoid, minimise, mitigate adverse impacts so they are no longer significant.</w:t>
      </w:r>
    </w:p>
    <w:p w14:paraId="4E64A09A" w14:textId="77777777" w:rsidR="00E60399" w:rsidRDefault="00E60399" w:rsidP="00E60399">
      <w:pPr>
        <w:pStyle w:val="Committeetemplate"/>
        <w:numPr>
          <w:ilvl w:val="0"/>
          <w:numId w:val="0"/>
        </w:numPr>
        <w:ind w:left="567"/>
      </w:pPr>
    </w:p>
    <w:p w14:paraId="05722637" w14:textId="77777777" w:rsidR="00E60399" w:rsidRDefault="00E60399" w:rsidP="00E60399">
      <w:pPr>
        <w:pStyle w:val="Committeetemplate"/>
        <w:ind w:left="567" w:hanging="567"/>
      </w:pPr>
      <w:r w:rsidRPr="00124FFB">
        <w:rPr>
          <w:b/>
          <w:bCs/>
        </w:rPr>
        <w:t>Disturbance SW-DIST-1:</w:t>
      </w:r>
      <w:r>
        <w:t xml:space="preserve"> Proposals that may have significant adverse impacts on highly mobile species through disturbance or displacement must demonstrate that they will, in order of preference: avoid, minimise, mitigate adverse impacts so they are no longer significant.</w:t>
      </w:r>
    </w:p>
    <w:p w14:paraId="0730BF89" w14:textId="77777777" w:rsidR="00E60399" w:rsidRDefault="00E60399" w:rsidP="00E60399">
      <w:pPr>
        <w:pStyle w:val="Committeetemplate"/>
        <w:numPr>
          <w:ilvl w:val="0"/>
          <w:numId w:val="0"/>
        </w:numPr>
        <w:ind w:left="567"/>
      </w:pPr>
    </w:p>
    <w:p w14:paraId="74309D0B" w14:textId="77777777" w:rsidR="00E60399" w:rsidRPr="004C4E8B" w:rsidRDefault="00E60399" w:rsidP="00E60399">
      <w:pPr>
        <w:pStyle w:val="Committeetemplate"/>
        <w:ind w:left="567" w:hanging="567"/>
      </w:pPr>
      <w:r w:rsidRPr="00124FFB">
        <w:rPr>
          <w:b/>
          <w:bCs/>
        </w:rPr>
        <w:t>Seascape and Landscape SW-SCP-1</w:t>
      </w:r>
      <w:r>
        <w:t>: Proposals should ensure they are compatible with their surroundings and should not have a significant adverse impact on the character and visual resource of the seascape and landscape of the area. The location, scale and design of proposals should take account of the character, quality and distinctiveness of the seascape and landscape. Proposals that may have a significant adverse impact on the seascape and landscape of the area should demonstrate that they will, in order of preference: avoid, minimise or mitigate - adverse impacts so they are no longer significant.</w:t>
      </w:r>
    </w:p>
    <w:p w14:paraId="0805AAA2" w14:textId="77777777" w:rsidR="00E60399" w:rsidRDefault="00E60399" w:rsidP="00E60399">
      <w:pPr>
        <w:pStyle w:val="Committeetemplate"/>
        <w:numPr>
          <w:ilvl w:val="0"/>
          <w:numId w:val="0"/>
        </w:numPr>
        <w:ind w:left="567"/>
        <w:rPr>
          <w:b/>
          <w:spacing w:val="-20"/>
          <w:szCs w:val="28"/>
        </w:rPr>
      </w:pPr>
    </w:p>
    <w:p w14:paraId="5C6FB13D" w14:textId="6B97DDC1" w:rsidR="00E60399" w:rsidRPr="002C6942" w:rsidRDefault="00E60399" w:rsidP="00E60399">
      <w:pPr>
        <w:pStyle w:val="Committeetemplate"/>
        <w:ind w:left="567" w:hanging="567"/>
        <w:rPr>
          <w:b/>
          <w:spacing w:val="-20"/>
          <w:szCs w:val="28"/>
        </w:rPr>
      </w:pPr>
      <w:r w:rsidRPr="0091553E">
        <w:rPr>
          <w:b/>
          <w:spacing w:val="-20"/>
          <w:szCs w:val="28"/>
        </w:rPr>
        <w:t>Isles of Scilly Local Plan (2015-2030)</w:t>
      </w:r>
      <w:r>
        <w:t xml:space="preserve">. </w:t>
      </w:r>
      <w:r w:rsidRPr="00A2519B">
        <w:t xml:space="preserve">The </w:t>
      </w:r>
      <w:r>
        <w:t>key</w:t>
      </w:r>
      <w:r w:rsidRPr="00A2519B">
        <w:t xml:space="preserve"> </w:t>
      </w:r>
      <w:r>
        <w:t>policies</w:t>
      </w:r>
      <w:r w:rsidRPr="00A2519B">
        <w:t xml:space="preserve"> within the </w:t>
      </w:r>
      <w:r>
        <w:t xml:space="preserve">Isles of Scilly </w:t>
      </w:r>
      <w:r w:rsidRPr="00A2519B">
        <w:t>Local Plan</w:t>
      </w:r>
      <w:r>
        <w:t xml:space="preserve"> (2015-2030), hereinafter referred to as the ‘Local Plan’,</w:t>
      </w:r>
      <w:r w:rsidRPr="00A2519B">
        <w:t xml:space="preserve"> </w:t>
      </w:r>
      <w:r>
        <w:t xml:space="preserve">would be Policy SS7 (Flood Avoidance and Coastal Erosion)and the relevant sections are set out below.  Other policies that are also relevant include SS1, SS2, </w:t>
      </w:r>
      <w:r w:rsidR="00882413">
        <w:t xml:space="preserve">SS9, </w:t>
      </w:r>
      <w:r>
        <w:t xml:space="preserve">OE1, OE2 and OE7. A </w:t>
      </w:r>
      <w:r w:rsidRPr="0091553E">
        <w:rPr>
          <w:b/>
        </w:rPr>
        <w:t>link (</w:t>
      </w:r>
      <w:r>
        <w:rPr>
          <w:b/>
        </w:rPr>
        <w:t>3</w:t>
      </w:r>
      <w:r w:rsidRPr="0091553E">
        <w:rPr>
          <w:b/>
        </w:rPr>
        <w:t>)</w:t>
      </w:r>
      <w:r>
        <w:t xml:space="preserve"> below provides access to the new Local Plan (2015-2030). </w:t>
      </w:r>
    </w:p>
    <w:p w14:paraId="43EF4754" w14:textId="77777777" w:rsidR="00E60399" w:rsidRPr="002C6942" w:rsidRDefault="00E60399" w:rsidP="00E60399">
      <w:pPr>
        <w:pStyle w:val="Committeetemplate"/>
        <w:numPr>
          <w:ilvl w:val="0"/>
          <w:numId w:val="0"/>
        </w:numPr>
        <w:ind w:left="567"/>
        <w:rPr>
          <w:b/>
          <w:spacing w:val="-20"/>
          <w:szCs w:val="28"/>
        </w:rPr>
      </w:pPr>
    </w:p>
    <w:p w14:paraId="4D903702" w14:textId="77777777" w:rsidR="00E60399" w:rsidRPr="004127A3" w:rsidRDefault="00E60399" w:rsidP="00E60399">
      <w:pPr>
        <w:pStyle w:val="Committeetemplate"/>
        <w:ind w:left="567" w:hanging="567"/>
        <w:rPr>
          <w:b/>
          <w:spacing w:val="-20"/>
          <w:szCs w:val="28"/>
        </w:rPr>
      </w:pPr>
      <w:r>
        <w:rPr>
          <w:b/>
          <w:spacing w:val="-20"/>
          <w:szCs w:val="28"/>
        </w:rPr>
        <w:t xml:space="preserve">Policy SS7 (Flood Avoidance and Coastal Erosion) . </w:t>
      </w:r>
      <w:r>
        <w:rPr>
          <w:bCs/>
          <w:spacing w:val="-20"/>
          <w:szCs w:val="28"/>
        </w:rPr>
        <w:t xml:space="preserve"> </w:t>
      </w:r>
      <w:r>
        <w:t>Development will be permissible where it complies with the NPPF and national guidance, takes account of local evidence and strategies (including the Local Flood Risk Management Strategies (LFRMS) and the Shoreline Management Plans (SMP)), and incorporates appropriate mitigation. Specifically policy SS7 makes provision for coastal defensive works at (3) where it is stated that natural dune restoration and works connected with flood resilience and coastal defence will be supported where any natural and historic environment designations, that may be affected, have been adequately addressed in accordance with Policy OE2 (Biodiversity and Geodiversity) and OE7 (Historic Environment).</w:t>
      </w:r>
    </w:p>
    <w:p w14:paraId="309B2B3C" w14:textId="77777777" w:rsidR="00E60399" w:rsidRDefault="00E60399" w:rsidP="00E60399">
      <w:pPr>
        <w:pStyle w:val="Committeetemplate"/>
        <w:numPr>
          <w:ilvl w:val="0"/>
          <w:numId w:val="0"/>
        </w:numPr>
        <w:ind w:left="567"/>
        <w:rPr>
          <w:b/>
          <w:spacing w:val="-20"/>
          <w:szCs w:val="28"/>
        </w:rPr>
      </w:pPr>
    </w:p>
    <w:p w14:paraId="4BD658AA" w14:textId="77777777" w:rsidR="00E60399" w:rsidRPr="004127A3" w:rsidRDefault="00E60399" w:rsidP="00E60399">
      <w:pPr>
        <w:pStyle w:val="Committeetemplate"/>
        <w:numPr>
          <w:ilvl w:val="0"/>
          <w:numId w:val="0"/>
        </w:numPr>
        <w:ind w:left="567"/>
        <w:rPr>
          <w:b/>
          <w:spacing w:val="-20"/>
          <w:szCs w:val="28"/>
        </w:rPr>
      </w:pPr>
      <w:r w:rsidRPr="004127A3">
        <w:rPr>
          <w:b/>
          <w:bCs/>
        </w:rPr>
        <w:t>Planning Assessment</w:t>
      </w:r>
    </w:p>
    <w:p w14:paraId="7914509D" w14:textId="77777777" w:rsidR="00E60399" w:rsidRPr="004127A3" w:rsidRDefault="00E60399" w:rsidP="00E60399">
      <w:pPr>
        <w:pStyle w:val="Committeetemplate"/>
        <w:ind w:left="567" w:hanging="567"/>
        <w:rPr>
          <w:b/>
          <w:spacing w:val="-20"/>
          <w:szCs w:val="28"/>
        </w:rPr>
      </w:pPr>
      <w:r w:rsidRPr="00A2519B">
        <w:lastRenderedPageBreak/>
        <w:t>The main planning issues for consideration</w:t>
      </w:r>
      <w:r>
        <w:t xml:space="preserve"> are whether the proposed works comply with the existing planning policy framework, which includes the Local Plan, the South West Marine Plan and the National Planning Policy Framework.</w:t>
      </w:r>
    </w:p>
    <w:p w14:paraId="1B659597" w14:textId="77777777" w:rsidR="00E60399" w:rsidRPr="004127A3" w:rsidRDefault="00E60399" w:rsidP="00E60399">
      <w:pPr>
        <w:pStyle w:val="Committeetemplate"/>
        <w:numPr>
          <w:ilvl w:val="0"/>
          <w:numId w:val="0"/>
        </w:numPr>
        <w:ind w:left="567"/>
        <w:rPr>
          <w:b/>
          <w:spacing w:val="-20"/>
          <w:szCs w:val="28"/>
        </w:rPr>
      </w:pPr>
    </w:p>
    <w:p w14:paraId="232893C1" w14:textId="77777777" w:rsidR="00E60399" w:rsidRPr="0091553E" w:rsidRDefault="00E60399" w:rsidP="00E60399">
      <w:pPr>
        <w:pStyle w:val="Committeetemplate"/>
        <w:numPr>
          <w:ilvl w:val="0"/>
          <w:numId w:val="0"/>
        </w:numPr>
        <w:ind w:left="567"/>
        <w:rPr>
          <w:b/>
          <w:bCs/>
        </w:rPr>
      </w:pPr>
      <w:r w:rsidRPr="0091553E">
        <w:rPr>
          <w:b/>
          <w:bCs/>
        </w:rPr>
        <w:t>Principle of Development</w:t>
      </w:r>
    </w:p>
    <w:p w14:paraId="66B91B0B" w14:textId="7FC0C4B7" w:rsidR="00E60399" w:rsidRDefault="00F613C1" w:rsidP="00E60399">
      <w:pPr>
        <w:pStyle w:val="Committeetemplate"/>
        <w:ind w:left="567" w:hanging="567"/>
      </w:pPr>
      <w:r>
        <w:t>As the works are primarily terrestrial in nature, t</w:t>
      </w:r>
      <w:r w:rsidR="00E60399">
        <w:t xml:space="preserve">he starting point for planning decision making is the Local Plan. As noted above there is a specific policy in relation to coastal defensive works (Policy SS7) which establishes the principle of this type of development, providing no wider harm is identified as a result. This includes harm or impacts upon the natural environment and the historic environment.  It will be necessary to consider any other material planning considerations. This could include issues such as any long-term impacts on amenity, highway or coastal access or wider visual harm.  Subject to these issues, which will be assessed below, the principle of the proposal is </w:t>
      </w:r>
      <w:r w:rsidR="00EC0D68">
        <w:t xml:space="preserve">considered </w:t>
      </w:r>
      <w:r w:rsidR="00E60399">
        <w:t>acceptable.</w:t>
      </w:r>
    </w:p>
    <w:p w14:paraId="664F5D38" w14:textId="77777777" w:rsidR="00E60399" w:rsidRDefault="00E60399" w:rsidP="00E60399">
      <w:pPr>
        <w:pStyle w:val="Committeetemplate"/>
        <w:numPr>
          <w:ilvl w:val="0"/>
          <w:numId w:val="0"/>
        </w:numPr>
        <w:ind w:left="567"/>
      </w:pPr>
    </w:p>
    <w:p w14:paraId="0DB82096" w14:textId="75E04D77" w:rsidR="00E60399" w:rsidRDefault="00E60399" w:rsidP="00E60399">
      <w:pPr>
        <w:pStyle w:val="Committeetemplate"/>
        <w:ind w:left="567" w:hanging="567"/>
      </w:pPr>
      <w:r>
        <w:t>Given the nature of the proposed works, and its location partially within the inter-tidal zone, it is necessary to consider the development in light of the policies of the marine plan. The issues therefore are set out below.</w:t>
      </w:r>
    </w:p>
    <w:p w14:paraId="3908B39C" w14:textId="77777777" w:rsidR="00882413" w:rsidRDefault="00882413" w:rsidP="00882413">
      <w:pPr>
        <w:pStyle w:val="Committeetemplate"/>
        <w:numPr>
          <w:ilvl w:val="0"/>
          <w:numId w:val="0"/>
        </w:numPr>
        <w:ind w:left="567"/>
      </w:pPr>
    </w:p>
    <w:p w14:paraId="5251ED41" w14:textId="191A01F4" w:rsidR="00B730FC" w:rsidRDefault="00882413" w:rsidP="00E60399">
      <w:pPr>
        <w:pStyle w:val="Committeetemplate"/>
        <w:ind w:left="567" w:hanging="567"/>
      </w:pPr>
      <w:bookmarkStart w:id="1" w:name="_Hlk83915039"/>
      <w:r>
        <w:t>As the application is considered EIA development, a</w:t>
      </w:r>
      <w:r w:rsidR="00EC0D68">
        <w:t>n opinion</w:t>
      </w:r>
      <w:r>
        <w:t xml:space="preserve"> formally adopted by the Local Planning Authority following a screening opinion request in 2017, there is a</w:t>
      </w:r>
      <w:r w:rsidR="00B730FC">
        <w:t xml:space="preserve"> statutory</w:t>
      </w:r>
      <w:r>
        <w:t xml:space="preserve"> duty to </w:t>
      </w:r>
      <w:r w:rsidR="00B730FC">
        <w:t>examine</w:t>
      </w:r>
      <w:r>
        <w:t xml:space="preserve"> the adequacy of the environmental statement submitted with reference to the content requirements of the EIA Regulations</w:t>
      </w:r>
      <w:r w:rsidR="00B730FC">
        <w:t xml:space="preserve"> and reach a reasoned conclusion</w:t>
      </w:r>
      <w:r>
        <w:t>.</w:t>
      </w:r>
      <w:r w:rsidR="00EC0D68">
        <w:t xml:space="preserve"> </w:t>
      </w:r>
      <w:r w:rsidR="00B730FC">
        <w:t>If planning permission is to be granted, the Council must ensure that all appropriate mitigation and monitoring measures are secured. EIA is, therefore, an integral component of the planning process for significant developments. EIA leads to improved decision making by providing the development management process with better information. EIA not only helps to determine whether development should be permitted, but also facilitates the drafting of planning conditions and planning obligations to control development, avoid or mitigate adverse effects and enhance beneficial effects. Therefore, it is vital that the environmental issues raised by the application are assessed in a robust and transparent manner.</w:t>
      </w:r>
    </w:p>
    <w:p w14:paraId="15C9AC35" w14:textId="77777777" w:rsidR="00B730FC" w:rsidRDefault="00B730FC" w:rsidP="00B730FC">
      <w:pPr>
        <w:pStyle w:val="Committeetemplate"/>
        <w:numPr>
          <w:ilvl w:val="0"/>
          <w:numId w:val="0"/>
        </w:numPr>
        <w:ind w:left="567"/>
      </w:pPr>
    </w:p>
    <w:bookmarkEnd w:id="1"/>
    <w:p w14:paraId="46EF1CB6" w14:textId="77777777" w:rsidR="00E60399" w:rsidRPr="000C5DC7" w:rsidRDefault="00E60399" w:rsidP="00E60399">
      <w:pPr>
        <w:pStyle w:val="Committeetemplate"/>
        <w:numPr>
          <w:ilvl w:val="0"/>
          <w:numId w:val="0"/>
        </w:numPr>
        <w:ind w:left="567"/>
        <w:rPr>
          <w:b/>
          <w:bCs/>
        </w:rPr>
      </w:pPr>
      <w:r w:rsidRPr="000C5DC7">
        <w:rPr>
          <w:b/>
          <w:bCs/>
        </w:rPr>
        <w:t>Visual Landscape Impact</w:t>
      </w:r>
    </w:p>
    <w:p w14:paraId="5E2D4C41" w14:textId="745537A9" w:rsidR="00E60399" w:rsidRDefault="00E60399" w:rsidP="00E60399">
      <w:pPr>
        <w:pStyle w:val="Committeetemplate"/>
        <w:ind w:left="567" w:hanging="567"/>
      </w:pPr>
      <w:r>
        <w:t xml:space="preserve">The main element of the project </w:t>
      </w:r>
      <w:r w:rsidR="0046298C">
        <w:t xml:space="preserve">is the installation of a new flood defence to reduce coastal erosion on the earth bank in the southern corner of the bay. This requires the construction of a compound, off Telegraph Road, close to the construction site.  Materials for the project will be brought to the side via a landing craft, directly on to Porthmellon beach.  </w:t>
      </w:r>
      <w:r w:rsidR="0028569E">
        <w:t xml:space="preserve">The flood defence </w:t>
      </w:r>
      <w:r w:rsidR="0046298C">
        <w:t>revetment will be constructed</w:t>
      </w:r>
      <w:r w:rsidR="0028569E">
        <w:t xml:space="preserve"> using an excavator.</w:t>
      </w:r>
    </w:p>
    <w:p w14:paraId="0AD34729" w14:textId="77777777" w:rsidR="00E60399" w:rsidRDefault="00E60399" w:rsidP="00E60399">
      <w:pPr>
        <w:pStyle w:val="Committeetemplate"/>
        <w:numPr>
          <w:ilvl w:val="0"/>
          <w:numId w:val="0"/>
        </w:numPr>
        <w:ind w:left="567"/>
      </w:pPr>
    </w:p>
    <w:p w14:paraId="665DB8CC" w14:textId="0D017F35" w:rsidR="00E60399" w:rsidRDefault="00E7078A" w:rsidP="00E60399">
      <w:pPr>
        <w:pStyle w:val="Committeetemplate"/>
        <w:ind w:left="567" w:hanging="567"/>
      </w:pPr>
      <w:r>
        <w:lastRenderedPageBreak/>
        <w:t>It is considered that there will be</w:t>
      </w:r>
      <w:r w:rsidR="0028569E" w:rsidRPr="0028569E">
        <w:t xml:space="preserve"> temporary impacts on landscape character and views of the beach would occur as a result of use of the area by construction equipment and the storage of construction materials. These impacts would affect local residents and people visiting the beaches.</w:t>
      </w:r>
      <w:r w:rsidR="0028569E">
        <w:t xml:space="preserve"> </w:t>
      </w:r>
      <w:r w:rsidR="0028569E" w:rsidRPr="0028569E">
        <w:t xml:space="preserve">Once the works are complete, the rock revetment would have a minor impact on landscape character and views because the revetment would replace sandy beach and affect a vegetated bank. </w:t>
      </w:r>
      <w:r>
        <w:t>D</w:t>
      </w:r>
      <w:r w:rsidR="0028569E" w:rsidRPr="0028569E">
        <w:t>ue to the small-scale of the revetment,</w:t>
      </w:r>
      <w:r>
        <w:t xml:space="preserve"> it is considered that the wider and longer term impacts of these changes,</w:t>
      </w:r>
      <w:r w:rsidR="0028569E" w:rsidRPr="0028569E">
        <w:t xml:space="preserve"> that will occur</w:t>
      </w:r>
      <w:r>
        <w:t>,</w:t>
      </w:r>
      <w:r w:rsidR="0028569E" w:rsidRPr="0028569E">
        <w:t xml:space="preserve"> will not be significant.</w:t>
      </w:r>
    </w:p>
    <w:p w14:paraId="34876033" w14:textId="77777777" w:rsidR="00E60399" w:rsidRDefault="00E60399" w:rsidP="00E60399">
      <w:pPr>
        <w:pStyle w:val="Committeetemplate"/>
        <w:numPr>
          <w:ilvl w:val="0"/>
          <w:numId w:val="0"/>
        </w:numPr>
        <w:ind w:left="567"/>
      </w:pPr>
    </w:p>
    <w:p w14:paraId="4A9283CA" w14:textId="13F71E8E" w:rsidR="00E60399" w:rsidRDefault="00E60399" w:rsidP="00E60399">
      <w:pPr>
        <w:pStyle w:val="Committeetemplate"/>
        <w:ind w:left="567" w:hanging="567"/>
      </w:pPr>
      <w:r>
        <w:t>Both the long-term and the short-term temporary elements of the project are considered to be appropriate in the context of this site and would not give rise to significant adverse</w:t>
      </w:r>
      <w:r w:rsidR="00E7078A">
        <w:t xml:space="preserve"> visual</w:t>
      </w:r>
      <w:r>
        <w:t xml:space="preserve"> impacts upon the landscape and seascape. The proposal is therefore considered to be in accordance with Policies OE1 and OE7(5) of the Local Plan (2015-2030) and Policy SW-SCP-1 of the Marine Plan (2020).</w:t>
      </w:r>
    </w:p>
    <w:p w14:paraId="71D6B731" w14:textId="77777777" w:rsidR="00E60399" w:rsidRDefault="00E60399" w:rsidP="00E60399">
      <w:pPr>
        <w:pStyle w:val="Committeetemplate"/>
        <w:numPr>
          <w:ilvl w:val="0"/>
          <w:numId w:val="0"/>
        </w:numPr>
        <w:ind w:left="567"/>
      </w:pPr>
    </w:p>
    <w:p w14:paraId="553ED8B2" w14:textId="77777777" w:rsidR="00E60399" w:rsidRPr="0091553E" w:rsidRDefault="00E60399" w:rsidP="00E60399">
      <w:pPr>
        <w:pStyle w:val="Committeetemplate"/>
        <w:numPr>
          <w:ilvl w:val="0"/>
          <w:numId w:val="0"/>
        </w:numPr>
        <w:ind w:left="567"/>
        <w:rPr>
          <w:b/>
          <w:bCs/>
        </w:rPr>
      </w:pPr>
      <w:r w:rsidRPr="0091553E">
        <w:rPr>
          <w:b/>
          <w:bCs/>
        </w:rPr>
        <w:t>Impact on the Historic Environment</w:t>
      </w:r>
    </w:p>
    <w:p w14:paraId="5BF19973" w14:textId="7B2ABADE" w:rsidR="0028569E" w:rsidRDefault="00E60399" w:rsidP="0028569E">
      <w:pPr>
        <w:pStyle w:val="Committeetemplate"/>
        <w:ind w:left="567" w:hanging="567"/>
      </w:pPr>
      <w:r>
        <w:t>In addition to being within the Conservation Area, the site is located within close proximity to</w:t>
      </w:r>
      <w:r w:rsidRPr="000C5DC7">
        <w:t xml:space="preserve"> two designated Scheduled Monuments</w:t>
      </w:r>
      <w:r>
        <w:t xml:space="preserve">. </w:t>
      </w:r>
      <w:r w:rsidR="00F613C1">
        <w:t xml:space="preserve">Both at the north side of Porthmellon beach, which are a smugglers cache and </w:t>
      </w:r>
      <w:r w:rsidR="00F55D57">
        <w:t>Harry’s</w:t>
      </w:r>
      <w:r w:rsidR="00F613C1">
        <w:t xml:space="preserve"> walls. </w:t>
      </w:r>
      <w:r w:rsidR="00F55D57">
        <w:t xml:space="preserve">The </w:t>
      </w:r>
      <w:r w:rsidR="00F613C1">
        <w:t xml:space="preserve">landing craft is identified to arrive at the </w:t>
      </w:r>
      <w:r w:rsidR="00F55D57">
        <w:t>southern</w:t>
      </w:r>
      <w:r w:rsidR="00F613C1">
        <w:t xml:space="preserve"> side of the beach</w:t>
      </w:r>
      <w:r w:rsidR="00F55D57">
        <w:t xml:space="preserve"> and as such</w:t>
      </w:r>
      <w:r w:rsidR="00F613C1">
        <w:t xml:space="preserve"> these </w:t>
      </w:r>
      <w:r w:rsidR="00F55D57">
        <w:t xml:space="preserve">heritage assets </w:t>
      </w:r>
      <w:r w:rsidR="00F613C1">
        <w:t>are not considered to be impacted by the proposal</w:t>
      </w:r>
      <w:r w:rsidR="0028569E" w:rsidRPr="0028569E">
        <w:t xml:space="preserve">. </w:t>
      </w:r>
      <w:r w:rsidR="00F613C1">
        <w:t xml:space="preserve">There are no Listed Buildings within the </w:t>
      </w:r>
      <w:r w:rsidR="00F55D57">
        <w:t>vicinity of the site, but there are</w:t>
      </w:r>
      <w:r w:rsidR="0028569E" w:rsidRPr="0028569E">
        <w:t xml:space="preserve"> eight Listed Buildings near to the site. The assessment concluded that there may be minor visual impacts upon the Scheduled Monuments during construction, but that the flood defence will not impact on the setting or fabric of these heritage sites or on any of the Listed Buildings. </w:t>
      </w:r>
    </w:p>
    <w:p w14:paraId="25657813" w14:textId="77777777" w:rsidR="0028569E" w:rsidRDefault="0028569E" w:rsidP="0028569E">
      <w:pPr>
        <w:pStyle w:val="Committeetemplate"/>
        <w:numPr>
          <w:ilvl w:val="0"/>
          <w:numId w:val="0"/>
        </w:numPr>
        <w:ind w:left="567"/>
      </w:pPr>
    </w:p>
    <w:p w14:paraId="670C1547" w14:textId="143BF9FA" w:rsidR="00E60399" w:rsidRDefault="0028569E" w:rsidP="0028569E">
      <w:pPr>
        <w:pStyle w:val="Committeetemplate"/>
        <w:ind w:left="567" w:hanging="567"/>
      </w:pPr>
      <w:r w:rsidRPr="0028569E">
        <w:t xml:space="preserve">As materials will be delivered to site via sea, there is the potential for prehistoric remains on the beach to be disturbed. It is recommended that offloading takes place in the south of the beach, where remains are less likely to be discovered. </w:t>
      </w:r>
      <w:r w:rsidR="00E60399">
        <w:t xml:space="preserve">It is considered that the proposed works will not directly impact upon either feature in this case. In terms of the setting of these heritage assets and any inter-visibility impacts then it is considered that the works would be screened in both cases by </w:t>
      </w:r>
      <w:r w:rsidR="00E60399" w:rsidRPr="000C5DC7">
        <w:t xml:space="preserve">intervening trees and rocks. </w:t>
      </w:r>
      <w:r w:rsidR="00E60399">
        <w:t>On the basis that there is no identified archaeological constraint area, in the area of works, it is considered that the</w:t>
      </w:r>
      <w:r w:rsidR="00E60399" w:rsidRPr="000C5DC7">
        <w:t xml:space="preserve"> potential to encounter archaeological remains during construction of the defence </w:t>
      </w:r>
      <w:r w:rsidR="00E60399">
        <w:t>would be</w:t>
      </w:r>
      <w:r w:rsidR="00E60399" w:rsidRPr="000C5DC7">
        <w:t xml:space="preserve"> low.</w:t>
      </w:r>
    </w:p>
    <w:p w14:paraId="55994538" w14:textId="77777777" w:rsidR="00E60399" w:rsidRDefault="00E60399" w:rsidP="00E60399">
      <w:pPr>
        <w:pStyle w:val="Committeetemplate"/>
        <w:numPr>
          <w:ilvl w:val="0"/>
          <w:numId w:val="0"/>
        </w:numPr>
        <w:ind w:left="567"/>
      </w:pPr>
    </w:p>
    <w:p w14:paraId="74015BEB" w14:textId="77777777" w:rsidR="00E60399" w:rsidRDefault="00E60399" w:rsidP="00E60399">
      <w:pPr>
        <w:pStyle w:val="Committeetemplate"/>
        <w:ind w:left="567" w:hanging="567"/>
      </w:pPr>
      <w:r>
        <w:t xml:space="preserve">Archaeological advice on this application has been sought from Cornwall Archaeological Unit who have consulted with the local Historic Environment Record. They have confirmed that it is unlikely that for buried archaeological remains would be disturbed at this site.  The proposed works are considered to </w:t>
      </w:r>
      <w:r>
        <w:lastRenderedPageBreak/>
        <w:t>comply with Policy OE7(7) of the Local Plan and Policy SW-HER-1 of the Marine Plan.</w:t>
      </w:r>
    </w:p>
    <w:p w14:paraId="733039C2" w14:textId="77777777" w:rsidR="00E60399" w:rsidRDefault="00E60399" w:rsidP="00E60399">
      <w:pPr>
        <w:pStyle w:val="Committeetemplate"/>
        <w:numPr>
          <w:ilvl w:val="0"/>
          <w:numId w:val="0"/>
        </w:numPr>
        <w:ind w:left="567"/>
      </w:pPr>
    </w:p>
    <w:p w14:paraId="1C24BD31" w14:textId="77777777" w:rsidR="00E60399" w:rsidRDefault="00E60399" w:rsidP="00E60399">
      <w:pPr>
        <w:pStyle w:val="Committeetemplate"/>
        <w:numPr>
          <w:ilvl w:val="0"/>
          <w:numId w:val="0"/>
        </w:numPr>
        <w:ind w:left="567"/>
      </w:pPr>
      <w:r w:rsidRPr="006F1D7B">
        <w:rPr>
          <w:b/>
          <w:bCs/>
        </w:rPr>
        <w:t>Impact on the Natural Environment</w:t>
      </w:r>
    </w:p>
    <w:p w14:paraId="487AC210" w14:textId="4635C0BB" w:rsidR="00E60399" w:rsidRDefault="00E60399" w:rsidP="00E60399">
      <w:pPr>
        <w:pStyle w:val="Committeetemplate"/>
        <w:ind w:left="567" w:hanging="567"/>
      </w:pPr>
      <w:r>
        <w:t xml:space="preserve">The proposed works are located in close proximity to a number of natural environment designations. This includes the Isles of Scilly Complex Special Area of Conservation (SAC) and the Special </w:t>
      </w:r>
      <w:r w:rsidR="00D85A2F">
        <w:t xml:space="preserve">Protection </w:t>
      </w:r>
      <w:r>
        <w:t>Area (S</w:t>
      </w:r>
      <w:r w:rsidR="00D85A2F">
        <w:t>PA</w:t>
      </w:r>
      <w:r>
        <w:t>) which runs up to the M</w:t>
      </w:r>
      <w:r w:rsidR="00D85A2F">
        <w:t>L</w:t>
      </w:r>
      <w:r>
        <w:t xml:space="preserve">WS </w:t>
      </w:r>
      <w:r w:rsidR="00A15CC9">
        <w:t xml:space="preserve">close </w:t>
      </w:r>
      <w:r>
        <w:t xml:space="preserve">to the proposed works. In terms of the habitats and species, protected by these European designations, then the Habitat Regulations Assessment (HRA) has screened the proposal in terms of likely significant effects, based on the conservation objectives of the designations. </w:t>
      </w:r>
    </w:p>
    <w:p w14:paraId="2873C1AC" w14:textId="77777777" w:rsidR="00E60399" w:rsidRDefault="00E60399" w:rsidP="00E60399">
      <w:pPr>
        <w:pStyle w:val="Committeetemplate"/>
        <w:numPr>
          <w:ilvl w:val="0"/>
          <w:numId w:val="0"/>
        </w:numPr>
        <w:ind w:left="567"/>
      </w:pPr>
    </w:p>
    <w:p w14:paraId="7BD99F80" w14:textId="0E2DCC45" w:rsidR="00E60399" w:rsidRDefault="0028569E" w:rsidP="00E60399">
      <w:pPr>
        <w:pStyle w:val="Committeetemplate"/>
        <w:ind w:left="567" w:hanging="567"/>
      </w:pPr>
      <w:r w:rsidRPr="0028569E">
        <w:t>At Port</w:t>
      </w:r>
      <w:r>
        <w:t>hm</w:t>
      </w:r>
      <w:r w:rsidRPr="0028569E">
        <w:t xml:space="preserve">ellon, construction materials will be delivered to site using a landing craft; this could have a minor impact on beach habitats, although these effects would be temporary and are not likely to be significant. Construction of the rock revetments would also result in a loss of relatively small areas of beach habitat. </w:t>
      </w:r>
      <w:r w:rsidR="00E60399">
        <w:t>The potential impacts in this case includes the access route for landing craft and transportation of materials across the beach.  The HRA notes that works are estimated to take a period of 4 weeks and will be timed to avoid April through to October due to boat use of the existing slipway.</w:t>
      </w:r>
    </w:p>
    <w:p w14:paraId="66C8DE4B" w14:textId="77777777" w:rsidR="00E60399" w:rsidRDefault="00E60399" w:rsidP="00E60399">
      <w:pPr>
        <w:pStyle w:val="Committeetemplate"/>
        <w:numPr>
          <w:ilvl w:val="0"/>
          <w:numId w:val="0"/>
        </w:numPr>
        <w:ind w:left="567"/>
      </w:pPr>
    </w:p>
    <w:p w14:paraId="4304D98F" w14:textId="77777777" w:rsidR="00E60399" w:rsidRDefault="00E60399" w:rsidP="00E60399">
      <w:pPr>
        <w:pStyle w:val="Committeetemplate"/>
        <w:ind w:left="567" w:hanging="567"/>
      </w:pPr>
      <w:r>
        <w:t>The potential hazards include direct habitat loss, noise and visual disturbance, water pollution, air pollution, sediment release and alteration to coastal processes. The HRA concludes that there are no ‘in-combination’ projects to review. The outcome of the HRA when considering the potential hazards on all of the identified interest features, concluded ‘no likely significant effects’ on the European Sites. On this basis the proposal is considered to comply with Policy OE2 of the Local Plan and Policy SW-BIO-1/2/3 of the Marine Plan.</w:t>
      </w:r>
    </w:p>
    <w:p w14:paraId="2C1B1586" w14:textId="77777777" w:rsidR="00E60399" w:rsidRDefault="00E60399" w:rsidP="00E60399">
      <w:pPr>
        <w:pStyle w:val="Committeetemplate"/>
        <w:numPr>
          <w:ilvl w:val="0"/>
          <w:numId w:val="0"/>
        </w:numPr>
        <w:ind w:left="567"/>
      </w:pPr>
    </w:p>
    <w:p w14:paraId="26156F9A" w14:textId="178EBE5B" w:rsidR="00E60399" w:rsidRPr="006F1D7B" w:rsidRDefault="00E60399" w:rsidP="0028569E">
      <w:pPr>
        <w:pStyle w:val="Committeetemplate"/>
        <w:numPr>
          <w:ilvl w:val="0"/>
          <w:numId w:val="0"/>
        </w:numPr>
        <w:ind w:left="567"/>
      </w:pPr>
      <w:r w:rsidRPr="006F1D7B">
        <w:rPr>
          <w:b/>
          <w:bCs/>
        </w:rPr>
        <w:t>Impact on Neighbouring Amenity</w:t>
      </w:r>
      <w:r w:rsidR="005D13E3">
        <w:rPr>
          <w:b/>
          <w:bCs/>
        </w:rPr>
        <w:t xml:space="preserve"> and coastal access</w:t>
      </w:r>
    </w:p>
    <w:p w14:paraId="1F672A15" w14:textId="77777777" w:rsidR="00E60399" w:rsidRDefault="00E60399" w:rsidP="00E60399">
      <w:pPr>
        <w:pStyle w:val="Committeetemplate"/>
        <w:ind w:left="567" w:hanging="567"/>
      </w:pPr>
      <w:r>
        <w:t>The proposal involves construction works and the transportation of materials to the boat yard site and the placement of materials as part of the reinforcement measures to protect infrastructure, businesses and properties.  The long-term impact, in terms of amenity, will be the protection of the coast from coastal inundation and coastal erosion, this is not considered to give rise to any amenity issues.  In the short term works could cause some disturbance but given the projected timing and timescales it is not anticipated that the duration of works would cause a significant adverse impact upon general amenity of the community.</w:t>
      </w:r>
    </w:p>
    <w:p w14:paraId="53C637E0" w14:textId="77777777" w:rsidR="00E60399" w:rsidRDefault="00E60399" w:rsidP="00E60399">
      <w:pPr>
        <w:pStyle w:val="Committeetemplate"/>
        <w:numPr>
          <w:ilvl w:val="0"/>
          <w:numId w:val="0"/>
        </w:numPr>
        <w:ind w:left="567"/>
      </w:pPr>
    </w:p>
    <w:p w14:paraId="5136BF30" w14:textId="3C517698" w:rsidR="003F2983" w:rsidRDefault="00E60399" w:rsidP="003F2983">
      <w:pPr>
        <w:pStyle w:val="Committeetemplate"/>
        <w:ind w:left="567" w:hanging="567"/>
      </w:pPr>
      <w:r>
        <w:t>In terms of the impact upon tourism</w:t>
      </w:r>
      <w:r w:rsidRPr="00FA7578">
        <w:t>, mainly in the form of homes to rent</w:t>
      </w:r>
      <w:r>
        <w:t xml:space="preserve"> as tourist accommodation or other local tourism sites, such as restaurants</w:t>
      </w:r>
      <w:r w:rsidRPr="00FA7578">
        <w:t xml:space="preserve">. </w:t>
      </w:r>
      <w:r w:rsidR="0028569E">
        <w:t>T</w:t>
      </w:r>
      <w:r w:rsidR="0028569E" w:rsidRPr="0028569E">
        <w:t>here is farmland to the north and east, industrial land (St Mary’s only industrial park) to the south east and the urban area of Hugh Town to the south</w:t>
      </w:r>
      <w:r w:rsidR="0028569E">
        <w:t xml:space="preserve"> and west</w:t>
      </w:r>
      <w:r w:rsidR="0028569E" w:rsidRPr="0028569E">
        <w:t xml:space="preserve">. </w:t>
      </w:r>
      <w:r w:rsidRPr="00FA7578">
        <w:t xml:space="preserve">It is </w:t>
      </w:r>
      <w:r w:rsidRPr="00FA7578">
        <w:lastRenderedPageBreak/>
        <w:t>possible that these small businesses could</w:t>
      </w:r>
      <w:r>
        <w:t xml:space="preserve"> be affected during</w:t>
      </w:r>
      <w:r w:rsidRPr="00FA7578">
        <w:t xml:space="preserve"> the construction period, as the serenity and the scenery of the local area would be adversely </w:t>
      </w:r>
      <w:r>
        <w:t>affected, in the short-term</w:t>
      </w:r>
      <w:r w:rsidRPr="00FA7578">
        <w:t>. These impacts could be lessened by the construction period taking place between</w:t>
      </w:r>
      <w:r w:rsidR="0028569E">
        <w:t xml:space="preserve"> outside the peak tourism season</w:t>
      </w:r>
      <w:r w:rsidRPr="00FA7578">
        <w:t>, as is currently programmed.</w:t>
      </w:r>
      <w:r>
        <w:t xml:space="preserve"> </w:t>
      </w:r>
    </w:p>
    <w:p w14:paraId="1C3F7D1D" w14:textId="77777777" w:rsidR="003F2983" w:rsidRDefault="003F2983" w:rsidP="003F2983">
      <w:pPr>
        <w:pStyle w:val="Committeetemplate"/>
        <w:numPr>
          <w:ilvl w:val="0"/>
          <w:numId w:val="0"/>
        </w:numPr>
        <w:ind w:left="567"/>
      </w:pPr>
    </w:p>
    <w:p w14:paraId="57E7DDB3" w14:textId="75310FB7" w:rsidR="003F2983" w:rsidRDefault="00E60399" w:rsidP="003F2983">
      <w:pPr>
        <w:pStyle w:val="Committeetemplate"/>
        <w:ind w:left="567" w:hanging="567"/>
      </w:pPr>
      <w:r>
        <w:t>In terms of other islanders or visitors</w:t>
      </w:r>
      <w:r w:rsidR="003F2983">
        <w:t xml:space="preserve"> then it is noted that the economy of the islands is small and relies on tourism. In recent years, the tourism economy has begun to shrink, and visitor numbers have fallen. The majority of visitors to the Isles of Scilly are British, and have visited before, often many times. A recent survey showed that visitors consider that scenery and peace and quiet are the best things about the Scilly Isles. </w:t>
      </w:r>
    </w:p>
    <w:p w14:paraId="7634CAB3" w14:textId="77777777" w:rsidR="003F2983" w:rsidRDefault="003F2983" w:rsidP="003F2983">
      <w:pPr>
        <w:pStyle w:val="Committeetemplate"/>
        <w:numPr>
          <w:ilvl w:val="0"/>
          <w:numId w:val="0"/>
        </w:numPr>
        <w:ind w:left="567"/>
      </w:pPr>
    </w:p>
    <w:p w14:paraId="5FBC5A7E" w14:textId="57E8824B" w:rsidR="003F2983" w:rsidRDefault="003F2983" w:rsidP="003F2983">
      <w:pPr>
        <w:pStyle w:val="Committeetemplate"/>
        <w:ind w:left="567" w:hanging="567"/>
      </w:pPr>
      <w:r>
        <w:t xml:space="preserve">Access across the islands varies. Some areas are accessible by roads and others only by footpaths. There are many footpaths on the islands, which reach almost all areas, including the proposed works at Porthmellon. Walking is very popular with both tourists and local residents. </w:t>
      </w:r>
    </w:p>
    <w:p w14:paraId="0DDB4E04" w14:textId="77777777" w:rsidR="003F2983" w:rsidRDefault="003F2983" w:rsidP="003F2983">
      <w:pPr>
        <w:pStyle w:val="Committeetemplate"/>
        <w:numPr>
          <w:ilvl w:val="0"/>
          <w:numId w:val="0"/>
        </w:numPr>
        <w:ind w:left="567"/>
      </w:pPr>
    </w:p>
    <w:p w14:paraId="01902A7C" w14:textId="10752D75" w:rsidR="003F2983" w:rsidRDefault="00EB19D5" w:rsidP="003F2983">
      <w:pPr>
        <w:pStyle w:val="Committeetemplate"/>
        <w:ind w:left="567" w:hanging="567"/>
      </w:pPr>
      <w:r>
        <w:t>It is considered that</w:t>
      </w:r>
      <w:r w:rsidR="003F2983">
        <w:t xml:space="preserve"> given the small-scale of the proposed flood defences, </w:t>
      </w:r>
      <w:r>
        <w:t>they will not be</w:t>
      </w:r>
      <w:r w:rsidR="003F2983">
        <w:t xml:space="preserve"> large enough to create a significant change in land use at this site.  In addition, the assessment determined that construction of the flood defences is not likely to have a significant impact upon the tourism industry. This is because the works will be taking place in winter and spring, avoiding the peak summer tourist season. Also, many visitors to the islands have visited before and know the area well. As a result, it is thought that small-scale construction would not discourage people from returning to the islands. However, there could be a small impact on local businesses at Porthmellon that rely on tourists; these businesses could see a reduction in footfall during construction. </w:t>
      </w:r>
    </w:p>
    <w:p w14:paraId="371B1B04" w14:textId="77777777" w:rsidR="003F2983" w:rsidRDefault="003F2983" w:rsidP="003F2983">
      <w:pPr>
        <w:pStyle w:val="Committeetemplate"/>
        <w:numPr>
          <w:ilvl w:val="0"/>
          <w:numId w:val="0"/>
        </w:numPr>
        <w:ind w:left="567"/>
      </w:pPr>
    </w:p>
    <w:p w14:paraId="0ED2477F" w14:textId="340D9872" w:rsidR="005D13E3" w:rsidRDefault="003F2983" w:rsidP="003F2983">
      <w:pPr>
        <w:pStyle w:val="Committeetemplate"/>
        <w:ind w:left="567" w:hanging="567"/>
      </w:pPr>
      <w:r>
        <w:t>Given the proximity to footpaths, there may be some impacts on access during construction and they may have to be temporarily closed for safety reasons.  This should be clearly publicised and address within a Construction Environment Management Plan (CEMP). There are, however</w:t>
      </w:r>
      <w:r w:rsidR="005D13E3">
        <w:t>,</w:t>
      </w:r>
      <w:r>
        <w:t xml:space="preserve"> alternative access points to Porthmellon beach that would enable access and activities to be maintained.</w:t>
      </w:r>
      <w:r w:rsidR="00EB19D5">
        <w:t xml:space="preserve"> </w:t>
      </w:r>
      <w:r w:rsidR="005D13E3">
        <w:t>The proposal also includes the creation of a formalised boardwalk access to the beach, across the dunes.  This is designed to enable the dune cut through to be closed, in the interests of the integrity of the coastal protection, whilst retaining a pedestrian access to the beach.</w:t>
      </w:r>
    </w:p>
    <w:p w14:paraId="089E27EE" w14:textId="77777777" w:rsidR="005D13E3" w:rsidRDefault="005D13E3" w:rsidP="005D13E3">
      <w:pPr>
        <w:pStyle w:val="Committeetemplate"/>
        <w:numPr>
          <w:ilvl w:val="0"/>
          <w:numId w:val="0"/>
        </w:numPr>
        <w:ind w:left="567"/>
      </w:pPr>
    </w:p>
    <w:p w14:paraId="39A9AE82" w14:textId="706AFFE9" w:rsidR="006B1866" w:rsidRDefault="00EB19D5" w:rsidP="006B1866">
      <w:pPr>
        <w:pStyle w:val="Committeetemplate"/>
        <w:ind w:left="567" w:hanging="567"/>
      </w:pPr>
      <w:r>
        <w:t xml:space="preserve">One representation raises an issue with the retention of the ‘garden’ opposite a property known as ‘Turnstones’. This property is located on the south side of Telegraph Road, adjacent to the demolished Carn Thomas Secondary School site. </w:t>
      </w:r>
      <w:r w:rsidRPr="006B1866">
        <w:t>The garden referred to as being maintained as a ‘memorial garden’ which they request to be left undisturbed.</w:t>
      </w:r>
      <w:r w:rsidR="006B1866">
        <w:t xml:space="preserve"> The land in question is not explicitly </w:t>
      </w:r>
      <w:r w:rsidR="006B1866">
        <w:lastRenderedPageBreak/>
        <w:t>identified by this person, but it is assumed to be the area of planting opposite Porthmellon Cottage.  This is the area in which the work to install the rock revetment is proposed and where the ‘cut-through’ is proposed be closed off.  It is likely therefore that the current planting will be lost as part of the works, which is intended as a means of protection of the area from over-topping.  The applicant has suggested that the CEMP can be adjusted to ensure the contractors retain as much of the planting as possible.  It is however not guaranteed that this could be achieved given the nature of the works.</w:t>
      </w:r>
    </w:p>
    <w:p w14:paraId="1E6D6154" w14:textId="77777777" w:rsidR="006B1866" w:rsidRDefault="006B1866" w:rsidP="006B1866">
      <w:pPr>
        <w:pStyle w:val="Committeetemplate"/>
        <w:numPr>
          <w:ilvl w:val="0"/>
          <w:numId w:val="0"/>
        </w:numPr>
        <w:ind w:left="567"/>
      </w:pPr>
    </w:p>
    <w:p w14:paraId="45FF30AF" w14:textId="58A66D8A" w:rsidR="006B1866" w:rsidRDefault="006B1866" w:rsidP="006B1866">
      <w:pPr>
        <w:pStyle w:val="Committeetemplate"/>
        <w:ind w:left="567" w:hanging="567"/>
      </w:pPr>
      <w:r>
        <w:t>It is noted that this land is part of the coast, managed by the Isles of Scilly Wildlife Trust, it is not private garden land or greenspace maintained by the Council.  Whilst it is unfortunate that this planting may be lost, if it is not possible to retain it, it is not reasonable to refuse the application on the basis that it could be lost.  An area to the rear of the proposed rock revetment will be retained as a vegetated bank, as per the image below:</w:t>
      </w:r>
    </w:p>
    <w:p w14:paraId="44C8A91A" w14:textId="74E967FF" w:rsidR="006B1866" w:rsidRDefault="006B1866" w:rsidP="006B1866">
      <w:pPr>
        <w:pStyle w:val="Committeetemplate"/>
        <w:numPr>
          <w:ilvl w:val="0"/>
          <w:numId w:val="0"/>
        </w:numPr>
        <w:ind w:left="567"/>
      </w:pPr>
      <w:r>
        <w:rPr>
          <w:noProof/>
        </w:rPr>
        <w:drawing>
          <wp:inline distT="0" distB="0" distL="0" distR="0" wp14:anchorId="1249CA6D" wp14:editId="377B969F">
            <wp:extent cx="5761990" cy="43897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1990" cy="4389755"/>
                    </a:xfrm>
                    <a:prstGeom prst="rect">
                      <a:avLst/>
                    </a:prstGeom>
                    <a:noFill/>
                    <a:ln>
                      <a:noFill/>
                    </a:ln>
                  </pic:spPr>
                </pic:pic>
              </a:graphicData>
            </a:graphic>
          </wp:inline>
        </w:drawing>
      </w:r>
    </w:p>
    <w:p w14:paraId="471FBD93" w14:textId="77777777" w:rsidR="004A4A29" w:rsidRDefault="004A4A29" w:rsidP="004A4A29">
      <w:pPr>
        <w:pStyle w:val="Committeetemplate"/>
        <w:numPr>
          <w:ilvl w:val="0"/>
          <w:numId w:val="0"/>
        </w:numPr>
        <w:ind w:left="567"/>
      </w:pPr>
    </w:p>
    <w:p w14:paraId="765A7AD1" w14:textId="049C5B01" w:rsidR="00E60399" w:rsidRDefault="003F2983" w:rsidP="003F2983">
      <w:pPr>
        <w:pStyle w:val="Committeetemplate"/>
        <w:ind w:left="567" w:hanging="567"/>
      </w:pPr>
      <w:r>
        <w:t xml:space="preserve">To ensure the local geological conditions on the Isles of Scilly are not impacted, only Cornish or Devonian granite has been identified to be used to create the flood defences. This is as close as possible to the local granite. </w:t>
      </w:r>
      <w:r w:rsidR="00E60399">
        <w:t xml:space="preserve"> The proposed works at this site are considered to be acceptable both in terms of amenity and public access on the basis that the impacts are minimised by their anticipated </w:t>
      </w:r>
      <w:r w:rsidR="00E60399">
        <w:lastRenderedPageBreak/>
        <w:t>short duration and timing.  The proposal is therefore considered acceptable in terms of Policy SS1 and Policy SS2(b) of the Local Plan and Policy SW-ACC-1 of the Marine Plan.</w:t>
      </w:r>
    </w:p>
    <w:p w14:paraId="08269A17" w14:textId="77777777" w:rsidR="00E60399" w:rsidRDefault="00E60399" w:rsidP="00E60399">
      <w:pPr>
        <w:pStyle w:val="Committeetemplate"/>
        <w:numPr>
          <w:ilvl w:val="0"/>
          <w:numId w:val="0"/>
        </w:numPr>
        <w:ind w:left="567"/>
      </w:pPr>
    </w:p>
    <w:p w14:paraId="4BF22910" w14:textId="77777777" w:rsidR="00E60399" w:rsidRPr="0091553E" w:rsidRDefault="00E60399" w:rsidP="00E60399">
      <w:pPr>
        <w:pStyle w:val="Committeetemplate"/>
        <w:numPr>
          <w:ilvl w:val="0"/>
          <w:numId w:val="0"/>
        </w:numPr>
        <w:ind w:left="567"/>
        <w:rPr>
          <w:b/>
          <w:bCs/>
        </w:rPr>
      </w:pPr>
      <w:r w:rsidRPr="0091553E">
        <w:rPr>
          <w:b/>
          <w:bCs/>
        </w:rPr>
        <w:t>Impact on Infrastructure and Highway Safety</w:t>
      </w:r>
    </w:p>
    <w:p w14:paraId="241E3A4F" w14:textId="54D16F86" w:rsidR="00E60399" w:rsidRDefault="00E60399" w:rsidP="00E60399">
      <w:pPr>
        <w:pStyle w:val="Committeetemplate"/>
        <w:ind w:left="567" w:hanging="567"/>
      </w:pPr>
      <w:r>
        <w:t>A key aspect of this proposal is the aim of protecting the vulnerability of the islands specifically its freshwater supplies on St Mary’s, in addition to protecting homes, businesses</w:t>
      </w:r>
      <w:r w:rsidR="003F2983">
        <w:t>,</w:t>
      </w:r>
      <w:r>
        <w:t xml:space="preserve"> </w:t>
      </w:r>
      <w:r w:rsidR="003F2983">
        <w:t>Telegraph Road, and the islands Industrial Estate and Waste Site.</w:t>
      </w:r>
      <w:r>
        <w:t xml:space="preserve">  The proposal involves the delivery of materials to the site via landing craft. The materials delivered directly to the beach are for </w:t>
      </w:r>
      <w:r w:rsidR="003F2983">
        <w:t>use at Porthmellon only</w:t>
      </w:r>
      <w:r>
        <w:t>.  The</w:t>
      </w:r>
      <w:r w:rsidR="00EB19D5">
        <w:t xml:space="preserve"> storage of materials, adjacent to Sandy Banks (between Sandy Banks and the Industrial Estate) will see some localised</w:t>
      </w:r>
      <w:r>
        <w:t xml:space="preserve"> </w:t>
      </w:r>
      <w:r w:rsidR="003F2983">
        <w:t xml:space="preserve">movement of </w:t>
      </w:r>
      <w:r>
        <w:t>materials</w:t>
      </w:r>
      <w:r w:rsidR="00EB19D5">
        <w:t xml:space="preserve"> which could have some impact in the immediate vicinity.  This localised impact, together with the timing and short duration of the project, would not give rise to wider</w:t>
      </w:r>
      <w:r>
        <w:t xml:space="preserve"> successive vehicular movements of large scale vehicles, which could both congest some of the </w:t>
      </w:r>
      <w:r w:rsidR="005D13E3">
        <w:t>island’s</w:t>
      </w:r>
      <w:r>
        <w:t xml:space="preserve"> road, as well as degrade surfaces.  If it not considered the proposal will have a significant impact upon infrastructure or highway safety.</w:t>
      </w:r>
    </w:p>
    <w:p w14:paraId="36AFA6F7" w14:textId="77777777" w:rsidR="00E60399" w:rsidRDefault="00E60399" w:rsidP="00E60399">
      <w:pPr>
        <w:pStyle w:val="Committeetemplate"/>
        <w:numPr>
          <w:ilvl w:val="0"/>
          <w:numId w:val="0"/>
        </w:numPr>
        <w:ind w:left="567"/>
      </w:pPr>
    </w:p>
    <w:p w14:paraId="0BA52966" w14:textId="33B055F1" w:rsidR="00E60399" w:rsidRDefault="003F2983" w:rsidP="00E60399">
      <w:pPr>
        <w:pStyle w:val="Committeetemplate"/>
        <w:ind w:left="567" w:hanging="567"/>
      </w:pPr>
      <w:r w:rsidRPr="003F2983">
        <w:t xml:space="preserve">There are residential properties close enough to </w:t>
      </w:r>
      <w:r>
        <w:t xml:space="preserve">Porthmellon </w:t>
      </w:r>
      <w:r w:rsidRPr="003F2983">
        <w:t xml:space="preserve">to potentially experience air quality impacts from the release of dust and noise impacts. In order to prevent dust impacts, the contractors will follow mitigation described by the Institute of Air Quality Managers. This </w:t>
      </w:r>
      <w:r>
        <w:t>should form part of the CEMP</w:t>
      </w:r>
      <w:r w:rsidRPr="003F2983">
        <w:t xml:space="preserve">. To prevent noise impacts, </w:t>
      </w:r>
      <w:r>
        <w:t xml:space="preserve">the application advises that </w:t>
      </w:r>
      <w:r w:rsidRPr="003F2983">
        <w:t xml:space="preserve">the contractors will follow guidance provide by British Standard 5228, which includes not dropping dusty material from excessive height. </w:t>
      </w:r>
      <w:r w:rsidR="00E60399">
        <w:t xml:space="preserve"> </w:t>
      </w:r>
    </w:p>
    <w:p w14:paraId="108444B4" w14:textId="77777777" w:rsidR="000E5F4F" w:rsidRDefault="000E5F4F" w:rsidP="000E5F4F">
      <w:pPr>
        <w:pStyle w:val="Committeetemplate"/>
        <w:numPr>
          <w:ilvl w:val="0"/>
          <w:numId w:val="0"/>
        </w:numPr>
        <w:ind w:left="567"/>
      </w:pPr>
    </w:p>
    <w:p w14:paraId="35AC0B8E" w14:textId="7380647B" w:rsidR="003F2983" w:rsidRDefault="003F2983" w:rsidP="000E5F4F">
      <w:pPr>
        <w:pStyle w:val="Committeetemplate"/>
        <w:ind w:left="567" w:hanging="567"/>
      </w:pPr>
      <w:r w:rsidRPr="003F2983">
        <w:t xml:space="preserve">Whilst it is not anticipated that night-time working will be required, should it be necessary (to manage the unloading of construction materials within the tidal cycle), it would have to be lit. There will be impacts to local properties if the </w:t>
      </w:r>
      <w:r>
        <w:t xml:space="preserve">Porthmellon </w:t>
      </w:r>
      <w:r w:rsidRPr="003F2983">
        <w:t>site need</w:t>
      </w:r>
      <w:r>
        <w:t>s</w:t>
      </w:r>
      <w:r w:rsidRPr="003F2983">
        <w:t xml:space="preserve"> to be lit. These impacts can be minimised, by, for example, switching off lights when they are not needed.</w:t>
      </w:r>
      <w:r>
        <w:t xml:space="preserve"> </w:t>
      </w:r>
      <w:r w:rsidR="000E5F4F">
        <w:t>The ES notes that i</w:t>
      </w:r>
      <w:r w:rsidRPr="003F2983">
        <w:t xml:space="preserve">t is not expected that there would be any pollution to the land or water due to construction. </w:t>
      </w:r>
      <w:r w:rsidR="000E5F4F">
        <w:t xml:space="preserve">A proposed mitigation measure is to ensure that </w:t>
      </w:r>
      <w:r w:rsidRPr="003F2983">
        <w:t xml:space="preserve">actions such as storing and refuelling machinery </w:t>
      </w:r>
      <w:r w:rsidR="000E5F4F">
        <w:t xml:space="preserve">takes place </w:t>
      </w:r>
      <w:r w:rsidRPr="003F2983">
        <w:t>as far away from the sea as possible.</w:t>
      </w:r>
      <w:r w:rsidR="000E5F4F">
        <w:t xml:space="preserve"> Through the application of</w:t>
      </w:r>
      <w:r w:rsidR="000E5F4F" w:rsidRPr="000E5F4F">
        <w:t xml:space="preserve"> robust construction practices and employing a range of environmental management actions, which </w:t>
      </w:r>
      <w:r w:rsidR="000E5F4F">
        <w:t>will need to be</w:t>
      </w:r>
      <w:r w:rsidR="000E5F4F" w:rsidRPr="000E5F4F">
        <w:t xml:space="preserve"> documented in a Construction Environmental Management Plan</w:t>
      </w:r>
      <w:r w:rsidR="000E5F4F">
        <w:t xml:space="preserve"> (CEMP), to</w:t>
      </w:r>
      <w:r w:rsidR="000E5F4F" w:rsidRPr="000E5F4F">
        <w:t xml:space="preserve"> ensure that </w:t>
      </w:r>
      <w:r w:rsidR="000E5F4F">
        <w:t>any</w:t>
      </w:r>
      <w:r w:rsidR="000E5F4F" w:rsidRPr="000E5F4F">
        <w:t xml:space="preserve"> contractor working on </w:t>
      </w:r>
      <w:r w:rsidR="000E5F4F">
        <w:t xml:space="preserve">site </w:t>
      </w:r>
      <w:r w:rsidR="000E5F4F" w:rsidRPr="000E5F4F">
        <w:t>commits to best possible practice.</w:t>
      </w:r>
    </w:p>
    <w:p w14:paraId="5A31F576" w14:textId="77777777" w:rsidR="00E60399" w:rsidRDefault="00E60399" w:rsidP="00E60399">
      <w:pPr>
        <w:pStyle w:val="Committeetemplate"/>
        <w:numPr>
          <w:ilvl w:val="0"/>
          <w:numId w:val="0"/>
        </w:numPr>
        <w:ind w:left="567"/>
      </w:pPr>
    </w:p>
    <w:p w14:paraId="49A28DAD" w14:textId="1F4CB84A" w:rsidR="00E60399" w:rsidRDefault="00E60399" w:rsidP="00E60399">
      <w:pPr>
        <w:pStyle w:val="Committeetemplate"/>
        <w:ind w:left="567" w:hanging="567"/>
      </w:pPr>
      <w:r>
        <w:t xml:space="preserve">Overall it is considered that the proposal is acceptable in terms of infrastructure and highway safety and the application would accord with Policy SS9 of the Local Plan. </w:t>
      </w:r>
    </w:p>
    <w:p w14:paraId="7C220F91" w14:textId="77777777" w:rsidR="00E60399" w:rsidRDefault="00E60399" w:rsidP="00E60399">
      <w:pPr>
        <w:pStyle w:val="Committeetemplate"/>
        <w:numPr>
          <w:ilvl w:val="0"/>
          <w:numId w:val="0"/>
        </w:numPr>
        <w:ind w:left="567"/>
      </w:pPr>
      <w:r>
        <w:t xml:space="preserve"> </w:t>
      </w:r>
    </w:p>
    <w:p w14:paraId="41BC3931" w14:textId="77777777" w:rsidR="00E60399" w:rsidRPr="0091553E" w:rsidRDefault="00E60399" w:rsidP="00E60399">
      <w:pPr>
        <w:pStyle w:val="Committeetemplate"/>
        <w:numPr>
          <w:ilvl w:val="0"/>
          <w:numId w:val="0"/>
        </w:numPr>
        <w:ind w:left="567"/>
        <w:rPr>
          <w:b/>
          <w:bCs/>
        </w:rPr>
      </w:pPr>
      <w:r w:rsidRPr="0091553E">
        <w:rPr>
          <w:b/>
          <w:bCs/>
        </w:rPr>
        <w:lastRenderedPageBreak/>
        <w:t>Flood Risk Impacts</w:t>
      </w:r>
    </w:p>
    <w:p w14:paraId="6CEAEF08" w14:textId="525F408B" w:rsidR="00E60399" w:rsidRDefault="00E60399" w:rsidP="00E60399">
      <w:pPr>
        <w:pStyle w:val="Committeetemplate"/>
        <w:ind w:left="567" w:hanging="567"/>
      </w:pPr>
      <w:r>
        <w:t xml:space="preserve">The Cornwall and Isles of Scilly Shoreline Management Plan (SMP2 and mid-term </w:t>
      </w:r>
      <w:r w:rsidR="000E5F4F">
        <w:t>review</w:t>
      </w:r>
      <w:r>
        <w:t>)</w:t>
      </w:r>
      <w:r w:rsidR="000E5F4F">
        <w:t xml:space="preserve">, which can be found in </w:t>
      </w:r>
      <w:r w:rsidR="000E5F4F" w:rsidRPr="000E5F4F">
        <w:rPr>
          <w:b/>
          <w:bCs/>
        </w:rPr>
        <w:t>link (4)</w:t>
      </w:r>
      <w:r w:rsidR="000E5F4F">
        <w:t xml:space="preserve"> below,</w:t>
      </w:r>
      <w:r>
        <w:t xml:space="preserve"> notes that St Mary’s is extremely exposed to Atlantic waves and swell from westerly, southerly and easterly directions. It is sheltered from most north-westerly waves. The annual 10% exceedance wave height is likely to be around 3.0 - 3.5m. The wave climate is extremely influential in all aspects of risk assessment at the coastline.  The mean spring tidal range at St Mary’s is 4.9m. Tidal currents, whilst not as influential as the wave climate in dictating shoreline morphology, can attain significant velocities where they flow in the narrower channels between islands. </w:t>
      </w:r>
    </w:p>
    <w:p w14:paraId="0BE0E4C5" w14:textId="77777777" w:rsidR="00E60399" w:rsidRDefault="00E60399" w:rsidP="00E60399">
      <w:pPr>
        <w:pStyle w:val="Committeetemplate"/>
        <w:numPr>
          <w:ilvl w:val="0"/>
          <w:numId w:val="0"/>
        </w:numPr>
        <w:ind w:left="567"/>
      </w:pPr>
    </w:p>
    <w:p w14:paraId="4F01D0C2" w14:textId="2D39F060" w:rsidR="00E60399" w:rsidRDefault="00E60399" w:rsidP="00E60399">
      <w:pPr>
        <w:pStyle w:val="Committeetemplate"/>
        <w:ind w:left="567" w:hanging="567"/>
      </w:pPr>
      <w:r>
        <w:t xml:space="preserve">The SMP notes that the long-term policy for St Mary’s is generally ‘no active intervention’ (NAI) along the undefended cliffs, given the local importance of the protecting the freshwater supplies </w:t>
      </w:r>
      <w:r w:rsidRPr="00BA2063">
        <w:t xml:space="preserve">it was recognised that damage and exposure from direct wave action due to its westerly aspect </w:t>
      </w:r>
      <w:r>
        <w:t>and the inundation of seawater</w:t>
      </w:r>
      <w:r w:rsidRPr="00BA2063">
        <w:t xml:space="preserve">, there </w:t>
      </w:r>
      <w:r>
        <w:t>remains</w:t>
      </w:r>
      <w:r w:rsidRPr="00BA2063">
        <w:t xml:space="preserve"> a demonstrable risk of over-topping impact on the Lower Moors SSSI and associated impact on the freshwater supply for the island. The elevated presence of heavy metals has been identified at the northern inlet into the Lower Moors. </w:t>
      </w:r>
    </w:p>
    <w:p w14:paraId="13B28E4D" w14:textId="77777777" w:rsidR="00E60399" w:rsidRDefault="00E60399" w:rsidP="00E60399">
      <w:pPr>
        <w:pStyle w:val="Committeetemplate"/>
        <w:numPr>
          <w:ilvl w:val="0"/>
          <w:numId w:val="0"/>
        </w:numPr>
      </w:pPr>
    </w:p>
    <w:p w14:paraId="4409E20F" w14:textId="35474A02" w:rsidR="00E60399" w:rsidRDefault="00E60399" w:rsidP="00E60399">
      <w:pPr>
        <w:pStyle w:val="Committeetemplate"/>
        <w:ind w:left="567" w:hanging="567"/>
      </w:pPr>
      <w:r>
        <w:t xml:space="preserve">The AONB Management Plan 2021 – 2026 can be read in </w:t>
      </w:r>
      <w:r w:rsidRPr="000E5F4F">
        <w:rPr>
          <w:b/>
          <w:bCs/>
        </w:rPr>
        <w:t>link (</w:t>
      </w:r>
      <w:r w:rsidR="000E5F4F">
        <w:rPr>
          <w:b/>
          <w:bCs/>
        </w:rPr>
        <w:t>5</w:t>
      </w:r>
      <w:r w:rsidRPr="000E5F4F">
        <w:rPr>
          <w:b/>
          <w:bCs/>
        </w:rPr>
        <w:t>)</w:t>
      </w:r>
      <w:r>
        <w:t xml:space="preserve"> below recognises the threat of rising sea levels particularly in relation to freshwater supply through saline intrusion, contamination and flood inundation. </w:t>
      </w:r>
    </w:p>
    <w:p w14:paraId="4A323B3B" w14:textId="77777777" w:rsidR="00E60399" w:rsidRDefault="00E60399" w:rsidP="00E60399">
      <w:pPr>
        <w:pStyle w:val="Committeetemplate"/>
        <w:numPr>
          <w:ilvl w:val="0"/>
          <w:numId w:val="0"/>
        </w:numPr>
        <w:ind w:left="567"/>
      </w:pPr>
    </w:p>
    <w:p w14:paraId="041721DA" w14:textId="553E6AF4" w:rsidR="00E60399" w:rsidRDefault="00E60399" w:rsidP="00E60399">
      <w:pPr>
        <w:pStyle w:val="Committeetemplate"/>
        <w:ind w:left="567" w:hanging="567"/>
      </w:pPr>
      <w:r>
        <w:t xml:space="preserve">Although located in an area considered to be at risk of flooding, the development is seeking to reduce the impact posed by climate change, which is rising sea levels. The works are specifically seeking to limit the impact of ‘overtopping’ which without intervention will increasingly have a detrimental impact on the </w:t>
      </w:r>
      <w:r w:rsidR="00D85A2F">
        <w:t>island’s</w:t>
      </w:r>
      <w:r>
        <w:t xml:space="preserve"> freshwater supplies, in addition to posing increased risk to property and life.  Policy SS7(3) explicitly supports the type of development proposed, where no adverse harm is identified.  </w:t>
      </w:r>
    </w:p>
    <w:p w14:paraId="067A4C64" w14:textId="77777777" w:rsidR="00E60399" w:rsidRDefault="00E60399" w:rsidP="00E60399">
      <w:pPr>
        <w:pStyle w:val="Committeetemplate"/>
        <w:numPr>
          <w:ilvl w:val="0"/>
          <w:numId w:val="0"/>
        </w:numPr>
        <w:ind w:left="567"/>
      </w:pPr>
    </w:p>
    <w:p w14:paraId="1CD1418B" w14:textId="77777777" w:rsidR="00E60399" w:rsidRDefault="00E60399" w:rsidP="00E60399">
      <w:pPr>
        <w:pStyle w:val="Committeetemplate"/>
        <w:ind w:left="567" w:hanging="567"/>
      </w:pPr>
      <w:r>
        <w:t>Policy SW-CC-3 of the Marine Plan seeks to ensure proposals for climate adaption measures do not exacerbate coastal change and where the works enable local communities to be more resilient and better able to adapt to coastal erosion and flood risks. On the basis that the proposals do not compromise any existing adaptation measures, it is considered that the proposed works would accord with Policy SW-CC-3 of the Marine Plan.</w:t>
      </w:r>
    </w:p>
    <w:p w14:paraId="22CC213A" w14:textId="77777777" w:rsidR="00E60399" w:rsidRDefault="00E60399" w:rsidP="00E60399">
      <w:pPr>
        <w:pStyle w:val="Committeetemplate"/>
        <w:numPr>
          <w:ilvl w:val="0"/>
          <w:numId w:val="0"/>
        </w:numPr>
        <w:ind w:left="567"/>
      </w:pPr>
    </w:p>
    <w:p w14:paraId="3540F339" w14:textId="77777777" w:rsidR="00444122" w:rsidRPr="00864C2C" w:rsidRDefault="00444122" w:rsidP="00444122">
      <w:pPr>
        <w:pStyle w:val="Committeetemplate"/>
        <w:numPr>
          <w:ilvl w:val="0"/>
          <w:numId w:val="0"/>
        </w:numPr>
        <w:ind w:left="567"/>
        <w:rPr>
          <w:b/>
          <w:bCs/>
        </w:rPr>
      </w:pPr>
      <w:r w:rsidRPr="00864C2C">
        <w:rPr>
          <w:b/>
          <w:bCs/>
        </w:rPr>
        <w:t>Conclusion on the Significant Environmental Effects</w:t>
      </w:r>
    </w:p>
    <w:p w14:paraId="17BFA508" w14:textId="37917EB4" w:rsidR="00444122" w:rsidRDefault="00444122" w:rsidP="00444122">
      <w:pPr>
        <w:pStyle w:val="Committeetemplate"/>
        <w:ind w:left="567" w:hanging="567"/>
      </w:pPr>
      <w:r>
        <w:t xml:space="preserve">In light of paragraph 25 above and the regulatory requirements of the EIA regulations, this section seeks to reasonably conclude (Reg 26, (1) (a) and (b)) on the significant environmental effects of the development. The Environmental Statement (ES) sets out the likely significant effects in light of short-term and </w:t>
      </w:r>
      <w:r>
        <w:lastRenderedPageBreak/>
        <w:t>long-term effects, the magnitude of the effects and the sensitivity of the effects. This includes an assessment in relation to:</w:t>
      </w:r>
    </w:p>
    <w:p w14:paraId="2E2AD6C9" w14:textId="77777777" w:rsidR="00444122" w:rsidRDefault="00444122" w:rsidP="00444122">
      <w:pPr>
        <w:pStyle w:val="Committeetemplate"/>
        <w:numPr>
          <w:ilvl w:val="1"/>
          <w:numId w:val="21"/>
        </w:numPr>
      </w:pPr>
      <w:r>
        <w:t xml:space="preserve">Coastal processes, geomorphology and flood risk, </w:t>
      </w:r>
    </w:p>
    <w:p w14:paraId="3C7E9D4F" w14:textId="77777777" w:rsidR="00444122" w:rsidRDefault="00444122" w:rsidP="00444122">
      <w:pPr>
        <w:pStyle w:val="Committeetemplate"/>
        <w:numPr>
          <w:ilvl w:val="1"/>
          <w:numId w:val="21"/>
        </w:numPr>
      </w:pPr>
      <w:r>
        <w:t>Biodiversity and nature conservation;</w:t>
      </w:r>
    </w:p>
    <w:p w14:paraId="6065B3B1" w14:textId="77777777" w:rsidR="00444122" w:rsidRDefault="00444122" w:rsidP="00444122">
      <w:pPr>
        <w:pStyle w:val="Committeetemplate"/>
        <w:numPr>
          <w:ilvl w:val="1"/>
          <w:numId w:val="21"/>
        </w:numPr>
      </w:pPr>
      <w:r>
        <w:t>Landscape;</w:t>
      </w:r>
    </w:p>
    <w:p w14:paraId="38AB7EE5" w14:textId="77777777" w:rsidR="00444122" w:rsidRDefault="00444122" w:rsidP="00444122">
      <w:pPr>
        <w:pStyle w:val="Committeetemplate"/>
        <w:numPr>
          <w:ilvl w:val="1"/>
          <w:numId w:val="21"/>
        </w:numPr>
      </w:pPr>
      <w:r>
        <w:t>Historic Environment;</w:t>
      </w:r>
    </w:p>
    <w:p w14:paraId="262FD8C1" w14:textId="77777777" w:rsidR="00444122" w:rsidRDefault="00444122" w:rsidP="00444122">
      <w:pPr>
        <w:pStyle w:val="Committeetemplate"/>
        <w:numPr>
          <w:ilvl w:val="1"/>
          <w:numId w:val="21"/>
        </w:numPr>
      </w:pPr>
      <w:r>
        <w:t>Land use, tourism and public amenity;</w:t>
      </w:r>
    </w:p>
    <w:p w14:paraId="149B3B7C" w14:textId="77777777" w:rsidR="00444122" w:rsidRDefault="00444122" w:rsidP="00444122">
      <w:pPr>
        <w:pStyle w:val="Committeetemplate"/>
        <w:numPr>
          <w:ilvl w:val="1"/>
          <w:numId w:val="21"/>
        </w:numPr>
      </w:pPr>
      <w:r>
        <w:t>Sustainability and Climate Change;</w:t>
      </w:r>
    </w:p>
    <w:p w14:paraId="2245AF95" w14:textId="77777777" w:rsidR="00444122" w:rsidRDefault="00444122" w:rsidP="00444122">
      <w:pPr>
        <w:pStyle w:val="Committeetemplate"/>
        <w:numPr>
          <w:ilvl w:val="1"/>
          <w:numId w:val="21"/>
        </w:numPr>
      </w:pPr>
      <w:r>
        <w:t>Other construction-related effects (logistics, air quality, noise and light conditions); and</w:t>
      </w:r>
    </w:p>
    <w:p w14:paraId="666DAF0F" w14:textId="77777777" w:rsidR="00444122" w:rsidRDefault="00444122" w:rsidP="00444122">
      <w:pPr>
        <w:pStyle w:val="Committeetemplate"/>
        <w:numPr>
          <w:ilvl w:val="1"/>
          <w:numId w:val="21"/>
        </w:numPr>
      </w:pPr>
      <w:r>
        <w:t>Cumulative and in-combination effects</w:t>
      </w:r>
    </w:p>
    <w:p w14:paraId="18E1BAAD" w14:textId="77777777" w:rsidR="00444122" w:rsidRDefault="00444122" w:rsidP="00444122">
      <w:pPr>
        <w:pStyle w:val="Committeetemplate"/>
        <w:numPr>
          <w:ilvl w:val="0"/>
          <w:numId w:val="0"/>
        </w:numPr>
        <w:ind w:left="567"/>
      </w:pPr>
    </w:p>
    <w:p w14:paraId="26C34BBA" w14:textId="01B03862" w:rsidR="00444122" w:rsidRDefault="00444122" w:rsidP="00444122">
      <w:pPr>
        <w:pStyle w:val="Committeetemplate"/>
        <w:ind w:left="567" w:hanging="567"/>
      </w:pPr>
      <w:r>
        <w:t>It is noted that the EIA was carried out and submitted in 2019, so the in-combination impacts considered related to planning applications permitted or in consideration at that time.  The ES does not capture development permitted since that date.  It is noted that since 2019 there has been one additional application, that needs to be taken into account.  This is the outline planning application P/21/002/OUT, which was a ‘major development’ application to construct 12 self-build homes in Old Town.  The commencement of each individual plot cannot commence until the site overall has been prepared following the discharge of a number of significant pre-commencement conditions and following the submission of the Reserved Matters applications (of which there are likely to be 12).  Whilst the works associated with the construction of homes in Old Town, could see an increase in vehicular movements, including the movement of construction materials, it is not anticipated to take place until these pre-commencement matters have been resolved. The applicant is aware and has noted that if such development of the self-build homes does overlap with the construction periods for the coastal sea defence works, a coordinated approach would be taken to ensure the short periods of construction traffic does not coincide with the self-build projects. Thereby minimising the cumulative impacts upon the roads. Such consideration should be set out in a Construction Environment Management Plan (CEMP).</w:t>
      </w:r>
    </w:p>
    <w:p w14:paraId="2D3CDFFC" w14:textId="77777777" w:rsidR="00444122" w:rsidRDefault="00444122" w:rsidP="00444122">
      <w:pPr>
        <w:pStyle w:val="Committeetemplate"/>
        <w:numPr>
          <w:ilvl w:val="0"/>
          <w:numId w:val="0"/>
        </w:numPr>
        <w:ind w:left="567"/>
      </w:pPr>
      <w:r>
        <w:t xml:space="preserve"> </w:t>
      </w:r>
    </w:p>
    <w:p w14:paraId="2E4E077A" w14:textId="43FF4E04" w:rsidR="00D82DB6" w:rsidRDefault="00444122" w:rsidP="00444122">
      <w:pPr>
        <w:pStyle w:val="Committeetemplate"/>
        <w:ind w:left="567" w:hanging="567"/>
      </w:pPr>
      <w:r>
        <w:t xml:space="preserve">In light of the above housing proposal and following an examination of the environmental information submitted, it is considered that the ES sets out a clear assessment of the significant effects. Attention is drawn to Table 12-1 of the Environmental Statement, which sets out a summary of the significant effects, mitigation measures and residual effects in relation to the issues identified. </w:t>
      </w:r>
      <w:r w:rsidR="00D82DB6">
        <w:t xml:space="preserve"> These issues are covered in the above planning assessment.</w:t>
      </w:r>
    </w:p>
    <w:p w14:paraId="3460BDC2" w14:textId="77777777" w:rsidR="00D82DB6" w:rsidRDefault="00D82DB6" w:rsidP="00D82DB6">
      <w:pPr>
        <w:pStyle w:val="Committeetemplate"/>
        <w:numPr>
          <w:ilvl w:val="0"/>
          <w:numId w:val="0"/>
        </w:numPr>
        <w:ind w:left="567"/>
      </w:pPr>
    </w:p>
    <w:p w14:paraId="13698FFB" w14:textId="5AC21073" w:rsidR="00444122" w:rsidRDefault="00444122" w:rsidP="00444122">
      <w:pPr>
        <w:pStyle w:val="Committeetemplate"/>
        <w:ind w:left="567" w:hanging="567"/>
      </w:pPr>
      <w:r>
        <w:t xml:space="preserve">Slight to moderate residual effects </w:t>
      </w:r>
      <w:r w:rsidR="00D82DB6">
        <w:t>have been</w:t>
      </w:r>
      <w:r>
        <w:t xml:space="preserve"> identified at Porthmellon in relation to landscape, on the historic environment, on land use, tourism and public amenity, sustainability and climate change, mainly as a result of </w:t>
      </w:r>
      <w:r>
        <w:lastRenderedPageBreak/>
        <w:t>construction. No significant effects were identified as a result of cumulative effects. Large positive effects were identified  for all sites in terms of sustainability and climate change and negligible residual effects for all sites were identified for ‘other construction effects’ subject to proposed mitigation  of the adoption of an industry standard Construction Environment Management Plan (CEMP).</w:t>
      </w:r>
    </w:p>
    <w:p w14:paraId="53C543F5" w14:textId="77777777" w:rsidR="00444122" w:rsidRDefault="00444122" w:rsidP="00444122">
      <w:pPr>
        <w:pStyle w:val="Committeetemplate"/>
        <w:numPr>
          <w:ilvl w:val="0"/>
          <w:numId w:val="0"/>
        </w:numPr>
        <w:ind w:left="567"/>
      </w:pPr>
    </w:p>
    <w:p w14:paraId="51CCFB8C" w14:textId="1F6D9614" w:rsidR="00444122" w:rsidRDefault="00444122" w:rsidP="00444122">
      <w:pPr>
        <w:pStyle w:val="Committeetemplate"/>
        <w:ind w:left="567" w:hanging="567"/>
      </w:pPr>
      <w:r>
        <w:t>It is considered that the ES and an examination of the environmental information of the sea defence works will increase protection of homes, businesses and infrastructure from tidal flooding and coastal erosion, for the lifetimes of each development. In accordance with the requirements of the EIA regulations this report has concluded the proposal will not give rise to long-term significant adverse effects on the environment.</w:t>
      </w:r>
    </w:p>
    <w:p w14:paraId="3FDB1921" w14:textId="77777777" w:rsidR="00444122" w:rsidRDefault="00444122" w:rsidP="00444122">
      <w:pPr>
        <w:pStyle w:val="Committeetemplate"/>
        <w:numPr>
          <w:ilvl w:val="0"/>
          <w:numId w:val="0"/>
        </w:numPr>
        <w:ind w:left="567"/>
      </w:pPr>
    </w:p>
    <w:p w14:paraId="535FD6B6" w14:textId="77777777" w:rsidR="00444122" w:rsidRPr="000B7D4E" w:rsidRDefault="00444122" w:rsidP="00444122">
      <w:pPr>
        <w:pStyle w:val="Committeetemplate"/>
        <w:numPr>
          <w:ilvl w:val="0"/>
          <w:numId w:val="0"/>
        </w:numPr>
        <w:ind w:left="567"/>
        <w:rPr>
          <w:b/>
          <w:bCs/>
        </w:rPr>
      </w:pPr>
      <w:r w:rsidRPr="000B7D4E">
        <w:rPr>
          <w:b/>
          <w:bCs/>
        </w:rPr>
        <w:t>Monitoring Considerations</w:t>
      </w:r>
    </w:p>
    <w:p w14:paraId="1EBCE826" w14:textId="03C52193" w:rsidR="00444122" w:rsidRDefault="00444122" w:rsidP="00444122">
      <w:pPr>
        <w:pStyle w:val="Committeetemplate"/>
        <w:ind w:left="567" w:hanging="567"/>
      </w:pPr>
      <w:r>
        <w:t>The mitigation and monitoring considerations have been identified in the ES and an outline CEMP has been drawn up to assist with the implementation and managed through an Ecological Clerk of Works (ECoW). It is considered appropriate to require appropriate monitoring of the mitigation measures to ensure the moderate residual effects identified are not any greater or more significant than identified in the ES.</w:t>
      </w:r>
      <w:r w:rsidR="00D82DB6">
        <w:t xml:space="preserve"> A condition to require the submission of the CEMP to address all of the issues identified, is therefore recommended.</w:t>
      </w:r>
    </w:p>
    <w:p w14:paraId="5022C016" w14:textId="77777777" w:rsidR="00444122" w:rsidRDefault="00444122" w:rsidP="00444122">
      <w:pPr>
        <w:pStyle w:val="Committeetemplate"/>
        <w:numPr>
          <w:ilvl w:val="0"/>
          <w:numId w:val="0"/>
        </w:numPr>
        <w:ind w:left="567"/>
      </w:pPr>
    </w:p>
    <w:p w14:paraId="602FF45E" w14:textId="77777777" w:rsidR="00444122" w:rsidRPr="0091553E" w:rsidRDefault="00444122" w:rsidP="00444122">
      <w:pPr>
        <w:pStyle w:val="Committeetemplate"/>
        <w:numPr>
          <w:ilvl w:val="0"/>
          <w:numId w:val="0"/>
        </w:numPr>
        <w:ind w:left="567"/>
        <w:rPr>
          <w:b/>
          <w:bCs/>
        </w:rPr>
      </w:pPr>
      <w:r w:rsidRPr="0091553E">
        <w:rPr>
          <w:b/>
          <w:bCs/>
        </w:rPr>
        <w:t>Conclusion</w:t>
      </w:r>
    </w:p>
    <w:p w14:paraId="2ABE94F7" w14:textId="77777777" w:rsidR="00444122" w:rsidRDefault="00444122" w:rsidP="00444122">
      <w:pPr>
        <w:pStyle w:val="Committeetemplate"/>
        <w:ind w:left="567" w:hanging="567"/>
      </w:pPr>
      <w:r>
        <w:t xml:space="preserve">The proposed coastal defensive works, as set out in the submitted application, and considered through the Environmental Statement and Habitat Regulations Assessment are considered adequate to comply with the requirements of the Environmental Impact Assessment Regulations. The proposal is considered to comply with the relevant policies of the Local Plan and the Marine Plan. </w:t>
      </w:r>
    </w:p>
    <w:p w14:paraId="6C6580E6" w14:textId="77777777" w:rsidR="00444122" w:rsidRDefault="00444122" w:rsidP="00444122">
      <w:pPr>
        <w:pStyle w:val="Committeetemplate"/>
        <w:numPr>
          <w:ilvl w:val="0"/>
          <w:numId w:val="0"/>
        </w:numPr>
        <w:ind w:left="567"/>
      </w:pPr>
    </w:p>
    <w:p w14:paraId="0D0EE81A" w14:textId="77777777" w:rsidR="00444122" w:rsidRPr="0091553E" w:rsidRDefault="00444122" w:rsidP="00444122">
      <w:pPr>
        <w:pStyle w:val="Committeetemplate"/>
        <w:numPr>
          <w:ilvl w:val="0"/>
          <w:numId w:val="0"/>
        </w:numPr>
        <w:ind w:left="567"/>
        <w:rPr>
          <w:b/>
          <w:bCs/>
        </w:rPr>
      </w:pPr>
      <w:r w:rsidRPr="0091553E">
        <w:rPr>
          <w:b/>
          <w:bCs/>
        </w:rPr>
        <w:t>Recommendation</w:t>
      </w:r>
    </w:p>
    <w:p w14:paraId="0FEADA55" w14:textId="77777777" w:rsidR="00444122" w:rsidRPr="008E5CA9" w:rsidRDefault="00444122" w:rsidP="00444122">
      <w:pPr>
        <w:pStyle w:val="Committeetemplate"/>
        <w:ind w:left="567" w:hanging="567"/>
      </w:pPr>
      <w:r>
        <w:t>The proposed coastal defensive works be approved in accordance with the conditions set out in Appendix A.</w:t>
      </w:r>
    </w:p>
    <w:p w14:paraId="3FC69ACA" w14:textId="77777777" w:rsidR="00444122" w:rsidRPr="008C3B45" w:rsidRDefault="00444122" w:rsidP="00444122">
      <w:pPr>
        <w:pStyle w:val="Committeetemplate"/>
        <w:numPr>
          <w:ilvl w:val="0"/>
          <w:numId w:val="0"/>
        </w:numPr>
        <w:spacing w:line="276" w:lineRule="auto"/>
      </w:pPr>
    </w:p>
    <w:p w14:paraId="6A4012E3" w14:textId="77777777" w:rsidR="00E60399" w:rsidRPr="008C3B45" w:rsidRDefault="00E60399" w:rsidP="00E60399">
      <w:pPr>
        <w:spacing w:line="276" w:lineRule="auto"/>
        <w:ind w:left="0" w:firstLine="567"/>
        <w:rPr>
          <w:rFonts w:ascii="Arial" w:hAnsi="Arial"/>
          <w:b/>
          <w:sz w:val="28"/>
          <w:szCs w:val="28"/>
        </w:rPr>
      </w:pPr>
      <w:r w:rsidRPr="008C3B45">
        <w:rPr>
          <w:rFonts w:ascii="Arial" w:hAnsi="Arial"/>
          <w:b/>
          <w:sz w:val="28"/>
          <w:szCs w:val="28"/>
        </w:rPr>
        <w:t>Financial implications</w:t>
      </w:r>
    </w:p>
    <w:p w14:paraId="37218467" w14:textId="77777777" w:rsidR="00E60399" w:rsidRPr="008C3B45" w:rsidRDefault="00E60399" w:rsidP="00E60399">
      <w:pPr>
        <w:pStyle w:val="Committeetemplate"/>
        <w:numPr>
          <w:ilvl w:val="0"/>
          <w:numId w:val="0"/>
        </w:numPr>
        <w:spacing w:line="276" w:lineRule="auto"/>
      </w:pPr>
    </w:p>
    <w:p w14:paraId="1BE13983" w14:textId="77777777" w:rsidR="00E60399" w:rsidRPr="008C3B45" w:rsidRDefault="00E60399" w:rsidP="00E60399">
      <w:pPr>
        <w:pStyle w:val="Committeetemplate"/>
        <w:spacing w:line="276" w:lineRule="auto"/>
        <w:ind w:left="567" w:hanging="567"/>
      </w:pPr>
      <w:r>
        <w:t>None</w:t>
      </w:r>
    </w:p>
    <w:p w14:paraId="2A68251E" w14:textId="77777777" w:rsidR="00E60399" w:rsidRPr="008C3B45" w:rsidRDefault="00E60399" w:rsidP="00E60399">
      <w:pPr>
        <w:pStyle w:val="Committeetemplate"/>
        <w:numPr>
          <w:ilvl w:val="0"/>
          <w:numId w:val="0"/>
        </w:numPr>
        <w:spacing w:line="276" w:lineRule="auto"/>
      </w:pPr>
    </w:p>
    <w:p w14:paraId="7864B128" w14:textId="77777777" w:rsidR="00E60399" w:rsidRPr="008C3B45" w:rsidRDefault="00E60399" w:rsidP="00E60399">
      <w:pPr>
        <w:spacing w:line="276" w:lineRule="auto"/>
        <w:ind w:left="0" w:firstLine="567"/>
        <w:rPr>
          <w:rFonts w:ascii="Arial" w:hAnsi="Arial"/>
          <w:b/>
          <w:sz w:val="28"/>
          <w:szCs w:val="28"/>
        </w:rPr>
      </w:pPr>
      <w:r w:rsidRPr="008C3B45">
        <w:rPr>
          <w:rFonts w:ascii="Arial" w:hAnsi="Arial"/>
          <w:b/>
          <w:sz w:val="28"/>
          <w:szCs w:val="28"/>
        </w:rPr>
        <w:t>Legal implications</w:t>
      </w:r>
    </w:p>
    <w:p w14:paraId="49ED53C0" w14:textId="77777777" w:rsidR="00E60399" w:rsidRPr="008C3B45" w:rsidRDefault="00E60399" w:rsidP="00E60399">
      <w:pPr>
        <w:pStyle w:val="Committeetemplate"/>
        <w:numPr>
          <w:ilvl w:val="0"/>
          <w:numId w:val="0"/>
        </w:numPr>
        <w:spacing w:line="276" w:lineRule="auto"/>
      </w:pPr>
    </w:p>
    <w:p w14:paraId="30B2CF48" w14:textId="0D0DE002" w:rsidR="00E60399" w:rsidRDefault="00E60399" w:rsidP="00E60399">
      <w:pPr>
        <w:pStyle w:val="Committeetemplate"/>
        <w:spacing w:line="276" w:lineRule="auto"/>
        <w:ind w:left="567" w:hanging="567"/>
      </w:pPr>
      <w:r w:rsidRPr="006D3075">
        <w:t xml:space="preserve">There is a requirement to determine planning applications within statutory timescales. In this case the </w:t>
      </w:r>
      <w:r>
        <w:t xml:space="preserve">determination date for the planning application is </w:t>
      </w:r>
      <w:r w:rsidR="00444122">
        <w:t>19</w:t>
      </w:r>
      <w:r w:rsidRPr="0091553E">
        <w:rPr>
          <w:vertAlign w:val="superscript"/>
        </w:rPr>
        <w:t>th</w:t>
      </w:r>
      <w:r>
        <w:t xml:space="preserve"> November 2021.</w:t>
      </w:r>
    </w:p>
    <w:p w14:paraId="56C6D186" w14:textId="77777777" w:rsidR="00E60399" w:rsidRDefault="00E60399" w:rsidP="00E60399">
      <w:pPr>
        <w:pStyle w:val="Committeetemplate"/>
        <w:numPr>
          <w:ilvl w:val="0"/>
          <w:numId w:val="0"/>
        </w:numPr>
        <w:spacing w:line="276" w:lineRule="auto"/>
        <w:ind w:left="567"/>
      </w:pPr>
    </w:p>
    <w:p w14:paraId="2460EFC0" w14:textId="5A935A01" w:rsidR="00E60399" w:rsidRDefault="00E60399" w:rsidP="00E60399">
      <w:pPr>
        <w:pStyle w:val="Committeetemplate"/>
        <w:spacing w:line="276" w:lineRule="auto"/>
        <w:ind w:left="567" w:hanging="567"/>
      </w:pPr>
      <w:r w:rsidRPr="00582529">
        <w:t xml:space="preserve">Members will note that the determination of this application, if a decision is made at the </w:t>
      </w:r>
      <w:r>
        <w:t>19</w:t>
      </w:r>
      <w:r w:rsidRPr="00EA1EAC">
        <w:rPr>
          <w:vertAlign w:val="superscript"/>
        </w:rPr>
        <w:t>th</w:t>
      </w:r>
      <w:r>
        <w:t xml:space="preserve"> October 2021</w:t>
      </w:r>
      <w:r w:rsidRPr="00582529">
        <w:t xml:space="preserve"> Full Council meeting, will be </w:t>
      </w:r>
      <w:r>
        <w:t xml:space="preserve">within </w:t>
      </w:r>
      <w:r w:rsidRPr="00582529">
        <w:t>the statutory</w:t>
      </w:r>
      <w:r w:rsidR="00283EAC">
        <w:t xml:space="preserve"> 16 week</w:t>
      </w:r>
      <w:r w:rsidRPr="00582529">
        <w:t xml:space="preserve"> determination period. </w:t>
      </w:r>
    </w:p>
    <w:p w14:paraId="35DA6C12" w14:textId="77777777" w:rsidR="00E60399" w:rsidRDefault="00E60399" w:rsidP="00E60399">
      <w:pPr>
        <w:pStyle w:val="Committeetemplate"/>
        <w:numPr>
          <w:ilvl w:val="0"/>
          <w:numId w:val="0"/>
        </w:numPr>
        <w:spacing w:line="276" w:lineRule="auto"/>
        <w:ind w:left="567"/>
      </w:pPr>
    </w:p>
    <w:p w14:paraId="1770C7C8" w14:textId="690C0417" w:rsidR="00E60399" w:rsidRDefault="00E60399" w:rsidP="00E60399">
      <w:pPr>
        <w:pStyle w:val="Committeetemplate"/>
        <w:spacing w:line="276" w:lineRule="auto"/>
        <w:ind w:left="567" w:hanging="567"/>
      </w:pPr>
      <w:r>
        <w:t xml:space="preserve">Should members be minded to refuse this application, contrary to the recommendation, then it should be noted that the risk of an appeal challenge would increase (simply on the basis appeal challenges tend to be when planning permission is refused or unnecessarily delayed).  If Members are minded to refuse this application then they are advised to provide a clear re-balancing of the issues as to why the scheme is unacceptable.  Additionally Members would be advised to set out any additional conditions they consider appropriate to address matters of harm.  It is recommended that the precise wording of conditions is delegated to the Chief Planning Officer, in consultation with the Lead Member for Planning.  Officers can only provide guidance to Members if reasoning is considered to be material to the planning application and whether any suggested conditions are likely to meet the 6 tests for applying planning conditions to development.  Guidance on meeting tests for use of planning conditions can be found in the </w:t>
      </w:r>
      <w:r w:rsidRPr="0091553E">
        <w:rPr>
          <w:b/>
        </w:rPr>
        <w:t>link (</w:t>
      </w:r>
      <w:r w:rsidR="000E5F4F">
        <w:rPr>
          <w:b/>
        </w:rPr>
        <w:t>6</w:t>
      </w:r>
      <w:r w:rsidRPr="0091553E">
        <w:rPr>
          <w:b/>
        </w:rPr>
        <w:t>)</w:t>
      </w:r>
      <w:r>
        <w:t xml:space="preserve"> below.  For reference these are:</w:t>
      </w:r>
    </w:p>
    <w:p w14:paraId="5CAD03F1" w14:textId="77777777" w:rsidR="00E60399" w:rsidRPr="003F43F6" w:rsidRDefault="00E60399" w:rsidP="00E60399">
      <w:pPr>
        <w:pStyle w:val="Committeetemplate"/>
        <w:numPr>
          <w:ilvl w:val="2"/>
          <w:numId w:val="21"/>
        </w:numPr>
        <w:spacing w:line="276" w:lineRule="auto"/>
        <w:rPr>
          <w:lang w:eastAsia="en-GB"/>
        </w:rPr>
      </w:pPr>
      <w:r w:rsidRPr="003F43F6">
        <w:rPr>
          <w:lang w:eastAsia="en-GB"/>
        </w:rPr>
        <w:t>necessary;</w:t>
      </w:r>
    </w:p>
    <w:p w14:paraId="747D2EE8" w14:textId="77777777" w:rsidR="00E60399" w:rsidRPr="003F43F6" w:rsidRDefault="00E60399" w:rsidP="00E60399">
      <w:pPr>
        <w:pStyle w:val="Committeetemplate"/>
        <w:numPr>
          <w:ilvl w:val="2"/>
          <w:numId w:val="21"/>
        </w:numPr>
        <w:spacing w:line="276" w:lineRule="auto"/>
        <w:rPr>
          <w:lang w:eastAsia="en-GB"/>
        </w:rPr>
      </w:pPr>
      <w:r w:rsidRPr="003F43F6">
        <w:rPr>
          <w:lang w:eastAsia="en-GB"/>
        </w:rPr>
        <w:t>relevant to planning and;</w:t>
      </w:r>
    </w:p>
    <w:p w14:paraId="017D6BE0" w14:textId="77777777" w:rsidR="00E60399" w:rsidRPr="003F43F6" w:rsidRDefault="00E60399" w:rsidP="00E60399">
      <w:pPr>
        <w:pStyle w:val="Committeetemplate"/>
        <w:numPr>
          <w:ilvl w:val="2"/>
          <w:numId w:val="21"/>
        </w:numPr>
        <w:spacing w:line="276" w:lineRule="auto"/>
        <w:rPr>
          <w:lang w:eastAsia="en-GB"/>
        </w:rPr>
      </w:pPr>
      <w:r w:rsidRPr="003F43F6">
        <w:rPr>
          <w:lang w:eastAsia="en-GB"/>
        </w:rPr>
        <w:t>to the development to be permitted;</w:t>
      </w:r>
    </w:p>
    <w:p w14:paraId="43A031F0" w14:textId="77777777" w:rsidR="00E60399" w:rsidRPr="003F43F6" w:rsidRDefault="00E60399" w:rsidP="00E60399">
      <w:pPr>
        <w:pStyle w:val="Committeetemplate"/>
        <w:numPr>
          <w:ilvl w:val="2"/>
          <w:numId w:val="21"/>
        </w:numPr>
        <w:spacing w:line="276" w:lineRule="auto"/>
        <w:rPr>
          <w:lang w:eastAsia="en-GB"/>
        </w:rPr>
      </w:pPr>
      <w:r w:rsidRPr="003F43F6">
        <w:rPr>
          <w:lang w:eastAsia="en-GB"/>
        </w:rPr>
        <w:t>enforceable;</w:t>
      </w:r>
    </w:p>
    <w:p w14:paraId="73A89B8D" w14:textId="77777777" w:rsidR="00E60399" w:rsidRPr="003F43F6" w:rsidRDefault="00E60399" w:rsidP="00E60399">
      <w:pPr>
        <w:pStyle w:val="Committeetemplate"/>
        <w:numPr>
          <w:ilvl w:val="2"/>
          <w:numId w:val="21"/>
        </w:numPr>
        <w:spacing w:line="276" w:lineRule="auto"/>
        <w:rPr>
          <w:lang w:eastAsia="en-GB"/>
        </w:rPr>
      </w:pPr>
      <w:r w:rsidRPr="003F43F6">
        <w:rPr>
          <w:lang w:eastAsia="en-GB"/>
        </w:rPr>
        <w:t>precise and;</w:t>
      </w:r>
    </w:p>
    <w:p w14:paraId="266473F3" w14:textId="77777777" w:rsidR="00E60399" w:rsidRPr="003F43F6" w:rsidRDefault="00E60399" w:rsidP="00E60399">
      <w:pPr>
        <w:pStyle w:val="Committeetemplate"/>
        <w:numPr>
          <w:ilvl w:val="2"/>
          <w:numId w:val="21"/>
        </w:numPr>
        <w:spacing w:line="276" w:lineRule="auto"/>
        <w:rPr>
          <w:lang w:eastAsia="en-GB"/>
        </w:rPr>
      </w:pPr>
      <w:r w:rsidRPr="003F43F6">
        <w:rPr>
          <w:lang w:eastAsia="en-GB"/>
        </w:rPr>
        <w:t>reasonable in all other respects.</w:t>
      </w:r>
    </w:p>
    <w:p w14:paraId="76C0F157" w14:textId="77777777" w:rsidR="00E60399" w:rsidRDefault="00E60399" w:rsidP="00E60399">
      <w:pPr>
        <w:pStyle w:val="Committeetemplate"/>
        <w:numPr>
          <w:ilvl w:val="0"/>
          <w:numId w:val="0"/>
        </w:numPr>
        <w:spacing w:line="276" w:lineRule="auto"/>
        <w:ind w:left="567"/>
      </w:pPr>
    </w:p>
    <w:p w14:paraId="62F77C0E" w14:textId="77777777" w:rsidR="00E60399" w:rsidRDefault="00E60399" w:rsidP="00E60399">
      <w:pPr>
        <w:pStyle w:val="Committeetemplate"/>
        <w:ind w:left="567" w:hanging="567"/>
      </w:pPr>
      <w:r>
        <w:t>For information Members are asked to note that as of the 1</w:t>
      </w:r>
      <w:r w:rsidRPr="001E2375">
        <w:rPr>
          <w:vertAlign w:val="superscript"/>
        </w:rPr>
        <w:t>st</w:t>
      </w:r>
      <w:r>
        <w:t xml:space="preserve"> October 2018 the Local Planning Authority has a duty to agree with applicant’s any pre-commencement conditions it considers necessary to control a development.  Members are advised to bear this in mind as any additional requests for pre-commencement conditions will need to be agreed with applicants.</w:t>
      </w:r>
    </w:p>
    <w:p w14:paraId="4B5F2331" w14:textId="77777777" w:rsidR="00E60399" w:rsidRDefault="00E60399" w:rsidP="00E60399">
      <w:pPr>
        <w:pStyle w:val="Committeetemplate"/>
        <w:numPr>
          <w:ilvl w:val="0"/>
          <w:numId w:val="0"/>
        </w:numPr>
        <w:ind w:left="360"/>
      </w:pPr>
    </w:p>
    <w:p w14:paraId="1BD5DD2E" w14:textId="77777777" w:rsidR="00E60399" w:rsidRDefault="00E60399" w:rsidP="00E60399">
      <w:pPr>
        <w:pStyle w:val="Committeetemplate"/>
        <w:numPr>
          <w:ilvl w:val="0"/>
          <w:numId w:val="0"/>
        </w:numPr>
        <w:ind w:left="567"/>
      </w:pPr>
      <w:r w:rsidRPr="0091553E">
        <w:rPr>
          <w:b/>
          <w:sz w:val="28"/>
          <w:szCs w:val="28"/>
        </w:rPr>
        <w:t xml:space="preserve">Other implications </w:t>
      </w:r>
    </w:p>
    <w:p w14:paraId="7692E109" w14:textId="77777777" w:rsidR="00E60399" w:rsidRDefault="00E60399" w:rsidP="00E60399">
      <w:pPr>
        <w:pStyle w:val="Committeetemplate"/>
        <w:ind w:left="567" w:hanging="567"/>
      </w:pPr>
      <w:r>
        <w:t xml:space="preserve">Due to the application being located in a sensitive environment, as denoted by the AONB, it has been screened for environmental impacts through an </w:t>
      </w:r>
      <w:r w:rsidRPr="00D31697">
        <w:t xml:space="preserve">Environmental Impact </w:t>
      </w:r>
      <w:r>
        <w:t xml:space="preserve">Assessment (EIA), Screening Opinion.  This screening and subsequent scoping opinion concluded that the development proposed does constitute EIA development requiring an Environmental Statement (ES).  The full ES has been provided in relation to the three applications (P/21/049/FUL, P/21/050/FUL and P/21/051/FUL) and can be read online in </w:t>
      </w:r>
      <w:r w:rsidRPr="000E5F4F">
        <w:rPr>
          <w:b/>
          <w:bCs/>
        </w:rPr>
        <w:t>link (1).</w:t>
      </w:r>
    </w:p>
    <w:p w14:paraId="7BD0005D" w14:textId="77777777" w:rsidR="00E60399" w:rsidRDefault="00E60399" w:rsidP="00E60399">
      <w:pPr>
        <w:pStyle w:val="Committeetemplate"/>
        <w:numPr>
          <w:ilvl w:val="0"/>
          <w:numId w:val="0"/>
        </w:numPr>
        <w:ind w:left="567" w:hanging="567"/>
      </w:pPr>
    </w:p>
    <w:p w14:paraId="75AAF7C7" w14:textId="77777777" w:rsidR="00E60399" w:rsidRPr="008C3B45" w:rsidRDefault="00E60399" w:rsidP="00E60399">
      <w:pPr>
        <w:pStyle w:val="Committeetemplate"/>
        <w:ind w:left="567" w:hanging="567"/>
      </w:pPr>
      <w:r>
        <w:lastRenderedPageBreak/>
        <w:t>The planning application engages certain human rights under the Human Rights Act 2008 (HRA).  The HRA prohibits unlawful interference by public bodies with conventions rights. The term ‘engage’ simply means that human rights may be affected or relevant. The rights potentially engaged by this application, including the right to a fair trial and the right to respect for private and family life, are not considered to be unlawfully interfered with by this proposal.</w:t>
      </w:r>
    </w:p>
    <w:p w14:paraId="3AF08135" w14:textId="77777777" w:rsidR="00E60399" w:rsidRDefault="00E60399" w:rsidP="00E60399">
      <w:pPr>
        <w:pStyle w:val="Committeetemplate"/>
        <w:numPr>
          <w:ilvl w:val="0"/>
          <w:numId w:val="0"/>
        </w:numPr>
        <w:spacing w:line="276" w:lineRule="auto"/>
        <w:ind w:hanging="567"/>
      </w:pPr>
    </w:p>
    <w:p w14:paraId="3799A818" w14:textId="77777777" w:rsidR="00E60399" w:rsidRDefault="00E60399" w:rsidP="00E60399">
      <w:pPr>
        <w:pStyle w:val="Committeetemplate"/>
        <w:numPr>
          <w:ilvl w:val="0"/>
          <w:numId w:val="0"/>
        </w:numPr>
        <w:spacing w:line="276" w:lineRule="auto"/>
        <w:ind w:firstLine="567"/>
        <w:rPr>
          <w:b/>
        </w:rPr>
      </w:pPr>
      <w:r w:rsidRPr="007E56DD">
        <w:rPr>
          <w:b/>
        </w:rPr>
        <w:t>Links</w:t>
      </w:r>
    </w:p>
    <w:p w14:paraId="1CD27265" w14:textId="546B3846" w:rsidR="00E60399" w:rsidRDefault="00E60399" w:rsidP="00E60399">
      <w:pPr>
        <w:pStyle w:val="Committeetemplate"/>
        <w:numPr>
          <w:ilvl w:val="0"/>
          <w:numId w:val="0"/>
        </w:numPr>
        <w:spacing w:line="276" w:lineRule="auto"/>
        <w:ind w:left="567"/>
      </w:pPr>
      <w:r>
        <w:rPr>
          <w:b/>
        </w:rPr>
        <w:t xml:space="preserve">1. </w:t>
      </w:r>
      <w:r w:rsidRPr="009D5678">
        <w:rPr>
          <w:b/>
        </w:rPr>
        <w:t>The application details submitted:</w:t>
      </w:r>
      <w:r>
        <w:t xml:space="preserve"> </w:t>
      </w:r>
      <w:hyperlink r:id="rId9" w:history="1">
        <w:r w:rsidRPr="003F2737">
          <w:rPr>
            <w:rStyle w:val="Hyperlink"/>
          </w:rPr>
          <w:t>https://www.scilly.gov.uk/planning-application/planning-application-p21050ful</w:t>
        </w:r>
      </w:hyperlink>
      <w:r>
        <w:t xml:space="preserve"> </w:t>
      </w:r>
    </w:p>
    <w:p w14:paraId="507B3FB8" w14:textId="77777777" w:rsidR="00E60399" w:rsidRPr="009D5678" w:rsidRDefault="00E60399" w:rsidP="00E60399">
      <w:pPr>
        <w:pStyle w:val="Committeetemplate"/>
        <w:numPr>
          <w:ilvl w:val="0"/>
          <w:numId w:val="0"/>
        </w:numPr>
        <w:spacing w:line="276" w:lineRule="auto"/>
        <w:ind w:left="567"/>
        <w:rPr>
          <w:b/>
        </w:rPr>
      </w:pPr>
      <w:r>
        <w:rPr>
          <w:b/>
        </w:rPr>
        <w:t>2. Isles of Scilly</w:t>
      </w:r>
      <w:r w:rsidRPr="009D5678">
        <w:rPr>
          <w:b/>
        </w:rPr>
        <w:t xml:space="preserve"> Local Plan 2015-2030:</w:t>
      </w:r>
      <w:r>
        <w:t xml:space="preserve"> </w:t>
      </w:r>
      <w:hyperlink r:id="rId10" w:history="1">
        <w:r w:rsidRPr="00EA6648">
          <w:rPr>
            <w:rStyle w:val="Hyperlink"/>
          </w:rPr>
          <w:t>https://www.scilly.gov.uk/planning/planning-policy/local-plan-2015-2030-adopted/adoption-local-plan-2015-2030-regulation-26</w:t>
        </w:r>
      </w:hyperlink>
      <w:r>
        <w:t xml:space="preserve"> </w:t>
      </w:r>
    </w:p>
    <w:p w14:paraId="23484412" w14:textId="77777777" w:rsidR="00E60399" w:rsidRDefault="00E60399" w:rsidP="00E60399">
      <w:pPr>
        <w:pStyle w:val="Committeetemplate"/>
        <w:numPr>
          <w:ilvl w:val="0"/>
          <w:numId w:val="0"/>
        </w:numPr>
        <w:spacing w:line="276" w:lineRule="auto"/>
        <w:ind w:left="567"/>
      </w:pPr>
      <w:r>
        <w:rPr>
          <w:b/>
        </w:rPr>
        <w:t>3. South West Marine Plan 2021</w:t>
      </w:r>
      <w:r w:rsidRPr="009D5678">
        <w:rPr>
          <w:b/>
        </w:rPr>
        <w:t xml:space="preserve">: </w:t>
      </w:r>
      <w:hyperlink r:id="rId11" w:history="1">
        <w:r w:rsidRPr="00B12B42">
          <w:rPr>
            <w:rStyle w:val="Hyperlink"/>
          </w:rPr>
          <w:t>https://assets.publishing.service.gov.uk/government/uploads/system/uploads/attachment_data/file/1004494/FINAL_South_West_Marine_Plan__1_.pdf</w:t>
        </w:r>
      </w:hyperlink>
      <w:r>
        <w:t xml:space="preserve"> and Technical Annex: </w:t>
      </w:r>
      <w:hyperlink r:id="rId12" w:history="1">
        <w:r w:rsidRPr="00B12B42">
          <w:rPr>
            <w:rStyle w:val="Hyperlink"/>
          </w:rPr>
          <w:t>https://assets.publishing.service.gov.uk/government/uploads/system/uploads/attachment_data/file/995761/FINAL_South_West_Technical_Annex.pdf</w:t>
        </w:r>
      </w:hyperlink>
      <w:r>
        <w:t xml:space="preserve"> </w:t>
      </w:r>
    </w:p>
    <w:p w14:paraId="065E333A" w14:textId="27A64719" w:rsidR="00E60399" w:rsidRPr="00F01501" w:rsidRDefault="00E60399" w:rsidP="00E60399">
      <w:pPr>
        <w:pStyle w:val="Committeetemplate"/>
        <w:numPr>
          <w:ilvl w:val="0"/>
          <w:numId w:val="0"/>
        </w:numPr>
        <w:spacing w:line="276" w:lineRule="auto"/>
        <w:ind w:left="567"/>
        <w:rPr>
          <w:bCs/>
        </w:rPr>
      </w:pPr>
      <w:r>
        <w:rPr>
          <w:b/>
        </w:rPr>
        <w:t xml:space="preserve">4. Cornwall and Isles of Scilly Shoreline Management Plan (2010): </w:t>
      </w:r>
      <w:hyperlink r:id="rId13" w:history="1">
        <w:r w:rsidRPr="00F01501">
          <w:rPr>
            <w:rStyle w:val="Hyperlink"/>
            <w:bCs/>
          </w:rPr>
          <w:t>https://www.scilly.gov.uk/sites/default/files/document/planning/smp2.pdf</w:t>
        </w:r>
      </w:hyperlink>
      <w:r w:rsidRPr="00F01501">
        <w:rPr>
          <w:bCs/>
        </w:rPr>
        <w:t xml:space="preserve"> </w:t>
      </w:r>
    </w:p>
    <w:p w14:paraId="66DFF296" w14:textId="4078CC2B" w:rsidR="00E60399" w:rsidRDefault="000E5F4F" w:rsidP="00E60399">
      <w:pPr>
        <w:pStyle w:val="Committeetemplate"/>
        <w:numPr>
          <w:ilvl w:val="0"/>
          <w:numId w:val="0"/>
        </w:numPr>
        <w:spacing w:line="276" w:lineRule="auto"/>
        <w:ind w:left="567"/>
        <w:rPr>
          <w:b/>
        </w:rPr>
      </w:pPr>
      <w:r>
        <w:rPr>
          <w:b/>
        </w:rPr>
        <w:t>5</w:t>
      </w:r>
      <w:r w:rsidR="00E60399">
        <w:rPr>
          <w:b/>
        </w:rPr>
        <w:t xml:space="preserve">. AONB Management Plan 2021 – 2026: </w:t>
      </w:r>
      <w:hyperlink r:id="rId14" w:history="1">
        <w:r w:rsidR="00E60399" w:rsidRPr="000727BD">
          <w:rPr>
            <w:rStyle w:val="Hyperlink"/>
            <w:bCs/>
          </w:rPr>
          <w:t>http://13097e80-9f1e-480f-9703-b1ffff1ec62e.filesusr.com/ugd/f2ee4f_aea237417ab7471e9d656515a7201e1f.pdf</w:t>
        </w:r>
      </w:hyperlink>
      <w:r w:rsidR="00E60399" w:rsidRPr="000727BD">
        <w:rPr>
          <w:bCs/>
        </w:rPr>
        <w:t xml:space="preserve"> </w:t>
      </w:r>
    </w:p>
    <w:p w14:paraId="386A5F60" w14:textId="51C21400" w:rsidR="00E60399" w:rsidRDefault="000E5F4F" w:rsidP="00E60399">
      <w:pPr>
        <w:pStyle w:val="Committeetemplate"/>
        <w:numPr>
          <w:ilvl w:val="0"/>
          <w:numId w:val="0"/>
        </w:numPr>
        <w:spacing w:line="276" w:lineRule="auto"/>
        <w:ind w:left="567"/>
      </w:pPr>
      <w:r>
        <w:rPr>
          <w:b/>
        </w:rPr>
        <w:t>6</w:t>
      </w:r>
      <w:r w:rsidR="00E60399">
        <w:rPr>
          <w:b/>
        </w:rPr>
        <w:t>. Six</w:t>
      </w:r>
      <w:r w:rsidR="00E60399" w:rsidRPr="009D5678">
        <w:rPr>
          <w:b/>
        </w:rPr>
        <w:t xml:space="preserve"> Tests for Planning Conditions:</w:t>
      </w:r>
      <w:r w:rsidR="00E60399">
        <w:t xml:space="preserve"> </w:t>
      </w:r>
      <w:hyperlink r:id="rId15" w:history="1">
        <w:r w:rsidR="00E60399" w:rsidRPr="00AD7C4A">
          <w:rPr>
            <w:rStyle w:val="Hyperlink"/>
          </w:rPr>
          <w:t>https://www.gov.uk/guidance/use-of-planning-conditions</w:t>
        </w:r>
      </w:hyperlink>
      <w:r w:rsidR="00E60399">
        <w:t xml:space="preserve">  </w:t>
      </w:r>
    </w:p>
    <w:p w14:paraId="63D9BB84" w14:textId="77777777" w:rsidR="00E60399" w:rsidRPr="007E56DD" w:rsidRDefault="00E60399" w:rsidP="00E60399">
      <w:pPr>
        <w:pStyle w:val="Committeetemplate"/>
        <w:numPr>
          <w:ilvl w:val="0"/>
          <w:numId w:val="0"/>
        </w:numPr>
        <w:spacing w:line="276" w:lineRule="auto"/>
        <w:rPr>
          <w:b/>
        </w:rPr>
      </w:pPr>
    </w:p>
    <w:p w14:paraId="32FBA865" w14:textId="77777777" w:rsidR="00E60399" w:rsidRPr="008C3B45" w:rsidRDefault="00E60399" w:rsidP="00E60399">
      <w:pPr>
        <w:spacing w:line="276" w:lineRule="auto"/>
        <w:ind w:left="567" w:firstLine="0"/>
        <w:rPr>
          <w:rFonts w:ascii="Arial" w:hAnsi="Arial"/>
          <w:b/>
          <w:sz w:val="28"/>
          <w:szCs w:val="28"/>
        </w:rPr>
      </w:pPr>
      <w:r>
        <w:rPr>
          <w:rFonts w:ascii="Arial" w:hAnsi="Arial"/>
          <w:b/>
          <w:sz w:val="28"/>
          <w:szCs w:val="28"/>
        </w:rPr>
        <w:t xml:space="preserve">Report </w:t>
      </w:r>
      <w:r w:rsidRPr="008C3B45">
        <w:rPr>
          <w:rFonts w:ascii="Arial" w:hAnsi="Arial"/>
          <w:b/>
          <w:sz w:val="28"/>
          <w:szCs w:val="28"/>
        </w:rPr>
        <w:t>Approval</w:t>
      </w:r>
    </w:p>
    <w:tbl>
      <w:tblPr>
        <w:tblpPr w:leftFromText="180" w:rightFromText="180" w:vertAnchor="text" w:horzAnchor="margin" w:tblpY="203"/>
        <w:tblW w:w="8931" w:type="dxa"/>
        <w:tblBorders>
          <w:top w:val="single" w:sz="4" w:space="0" w:color="auto"/>
          <w:bottom w:val="single" w:sz="4" w:space="0" w:color="auto"/>
          <w:insideH w:val="single" w:sz="4" w:space="0" w:color="auto"/>
        </w:tblBorders>
        <w:tblCellMar>
          <w:top w:w="85" w:type="dxa"/>
          <w:bottom w:w="57" w:type="dxa"/>
        </w:tblCellMar>
        <w:tblLook w:val="0000" w:firstRow="0" w:lastRow="0" w:firstColumn="0" w:lastColumn="0" w:noHBand="0" w:noVBand="0"/>
      </w:tblPr>
      <w:tblGrid>
        <w:gridCol w:w="426"/>
        <w:gridCol w:w="2268"/>
        <w:gridCol w:w="3969"/>
        <w:gridCol w:w="2268"/>
      </w:tblGrid>
      <w:tr w:rsidR="00E60399" w:rsidRPr="008C3B45" w14:paraId="7C088CB8" w14:textId="77777777" w:rsidTr="009076A0">
        <w:trPr>
          <w:trHeight w:val="624"/>
        </w:trPr>
        <w:tc>
          <w:tcPr>
            <w:tcW w:w="426" w:type="dxa"/>
            <w:tcBorders>
              <w:top w:val="nil"/>
              <w:bottom w:val="nil"/>
            </w:tcBorders>
          </w:tcPr>
          <w:p w14:paraId="7B7804AD" w14:textId="77777777" w:rsidR="00E60399" w:rsidRPr="008C3B45" w:rsidRDefault="00E60399" w:rsidP="009076A0">
            <w:pPr>
              <w:spacing w:line="276" w:lineRule="auto"/>
              <w:ind w:left="0" w:firstLine="0"/>
              <w:rPr>
                <w:rFonts w:ascii="Arial" w:hAnsi="Arial"/>
                <w:b/>
              </w:rPr>
            </w:pPr>
          </w:p>
        </w:tc>
        <w:tc>
          <w:tcPr>
            <w:tcW w:w="2268" w:type="dxa"/>
            <w:vAlign w:val="center"/>
          </w:tcPr>
          <w:p w14:paraId="465866D2" w14:textId="77777777" w:rsidR="00E60399" w:rsidRDefault="00E60399" w:rsidP="009076A0">
            <w:pPr>
              <w:spacing w:line="276" w:lineRule="auto"/>
              <w:ind w:left="0" w:firstLine="0"/>
              <w:rPr>
                <w:rFonts w:ascii="Arial" w:hAnsi="Arial"/>
                <w:b/>
              </w:rPr>
            </w:pPr>
            <w:r>
              <w:rPr>
                <w:rFonts w:ascii="Arial" w:hAnsi="Arial"/>
                <w:b/>
              </w:rPr>
              <w:t>Chief Executive/</w:t>
            </w:r>
          </w:p>
          <w:p w14:paraId="486D5770" w14:textId="77777777" w:rsidR="00E60399" w:rsidRPr="008C3B45" w:rsidRDefault="00E60399" w:rsidP="009076A0">
            <w:pPr>
              <w:spacing w:line="276" w:lineRule="auto"/>
              <w:ind w:left="0" w:firstLine="0"/>
              <w:rPr>
                <w:rFonts w:ascii="Arial" w:hAnsi="Arial"/>
                <w:b/>
              </w:rPr>
            </w:pPr>
            <w:r>
              <w:rPr>
                <w:rFonts w:ascii="Arial" w:hAnsi="Arial"/>
                <w:b/>
              </w:rPr>
              <w:t>Strategic Director</w:t>
            </w:r>
          </w:p>
        </w:tc>
        <w:tc>
          <w:tcPr>
            <w:tcW w:w="3969" w:type="dxa"/>
            <w:vAlign w:val="center"/>
          </w:tcPr>
          <w:p w14:paraId="25C032AA" w14:textId="77777777" w:rsidR="00E60399" w:rsidRPr="008C3B45" w:rsidRDefault="00E60399" w:rsidP="009076A0">
            <w:pPr>
              <w:spacing w:line="276" w:lineRule="auto"/>
              <w:ind w:left="0" w:firstLine="0"/>
              <w:rPr>
                <w:rFonts w:ascii="Arial" w:hAnsi="Arial"/>
              </w:rPr>
            </w:pPr>
            <w:r>
              <w:rPr>
                <w:rFonts w:ascii="Arial" w:hAnsi="Arial"/>
              </w:rPr>
              <w:t>Not Applicable</w:t>
            </w:r>
          </w:p>
        </w:tc>
        <w:tc>
          <w:tcPr>
            <w:tcW w:w="2268" w:type="dxa"/>
            <w:vAlign w:val="center"/>
          </w:tcPr>
          <w:p w14:paraId="59646877" w14:textId="77777777" w:rsidR="00E60399" w:rsidRPr="008C3B45" w:rsidRDefault="00E60399" w:rsidP="009076A0">
            <w:pPr>
              <w:spacing w:line="276" w:lineRule="auto"/>
              <w:ind w:left="0" w:firstLine="0"/>
              <w:jc w:val="right"/>
              <w:rPr>
                <w:rFonts w:ascii="Arial" w:hAnsi="Arial"/>
              </w:rPr>
            </w:pPr>
          </w:p>
        </w:tc>
      </w:tr>
      <w:tr w:rsidR="00E60399" w:rsidRPr="008C3B45" w14:paraId="15E3AABA" w14:textId="77777777" w:rsidTr="009076A0">
        <w:trPr>
          <w:trHeight w:val="624"/>
        </w:trPr>
        <w:tc>
          <w:tcPr>
            <w:tcW w:w="426" w:type="dxa"/>
            <w:tcBorders>
              <w:top w:val="nil"/>
              <w:bottom w:val="nil"/>
            </w:tcBorders>
          </w:tcPr>
          <w:p w14:paraId="6F0B79D5" w14:textId="77777777" w:rsidR="00E60399" w:rsidRPr="008C3B45" w:rsidRDefault="00E60399" w:rsidP="009076A0">
            <w:pPr>
              <w:spacing w:line="276" w:lineRule="auto"/>
              <w:ind w:left="0" w:firstLine="0"/>
              <w:rPr>
                <w:rFonts w:ascii="Arial" w:hAnsi="Arial"/>
                <w:b/>
              </w:rPr>
            </w:pPr>
          </w:p>
        </w:tc>
        <w:tc>
          <w:tcPr>
            <w:tcW w:w="2268" w:type="dxa"/>
            <w:vAlign w:val="center"/>
          </w:tcPr>
          <w:p w14:paraId="264DDE7C" w14:textId="77777777" w:rsidR="00E60399" w:rsidRPr="008C3B45" w:rsidRDefault="00E60399" w:rsidP="009076A0">
            <w:pPr>
              <w:spacing w:line="276" w:lineRule="auto"/>
              <w:ind w:left="0" w:firstLine="0"/>
              <w:rPr>
                <w:rFonts w:ascii="Arial" w:hAnsi="Arial"/>
                <w:b/>
              </w:rPr>
            </w:pPr>
            <w:r w:rsidRPr="008C3B45">
              <w:rPr>
                <w:rFonts w:ascii="Arial" w:hAnsi="Arial"/>
                <w:b/>
              </w:rPr>
              <w:t>Financial</w:t>
            </w:r>
          </w:p>
        </w:tc>
        <w:tc>
          <w:tcPr>
            <w:tcW w:w="3969" w:type="dxa"/>
            <w:vAlign w:val="center"/>
          </w:tcPr>
          <w:p w14:paraId="145D0980" w14:textId="77777777" w:rsidR="00E60399" w:rsidRPr="008C3B45" w:rsidRDefault="00E60399" w:rsidP="009076A0">
            <w:pPr>
              <w:spacing w:line="276" w:lineRule="auto"/>
              <w:ind w:left="0" w:firstLine="0"/>
              <w:rPr>
                <w:rFonts w:ascii="Arial" w:hAnsi="Arial"/>
                <w:sz w:val="20"/>
                <w:szCs w:val="20"/>
              </w:rPr>
            </w:pPr>
            <w:r>
              <w:rPr>
                <w:rFonts w:ascii="Arial" w:hAnsi="Arial"/>
              </w:rPr>
              <w:t>Not Applicable</w:t>
            </w:r>
          </w:p>
        </w:tc>
        <w:tc>
          <w:tcPr>
            <w:tcW w:w="2268" w:type="dxa"/>
            <w:vAlign w:val="center"/>
          </w:tcPr>
          <w:p w14:paraId="50422DCB" w14:textId="77777777" w:rsidR="00E60399" w:rsidRPr="008C3B45" w:rsidRDefault="00E60399" w:rsidP="009076A0">
            <w:pPr>
              <w:spacing w:line="276" w:lineRule="auto"/>
              <w:ind w:left="0" w:firstLine="0"/>
              <w:jc w:val="right"/>
              <w:rPr>
                <w:rFonts w:ascii="Arial" w:hAnsi="Arial"/>
              </w:rPr>
            </w:pPr>
          </w:p>
        </w:tc>
      </w:tr>
      <w:tr w:rsidR="00E60399" w:rsidRPr="008C3B45" w14:paraId="0EF9DDDD" w14:textId="77777777" w:rsidTr="009076A0">
        <w:trPr>
          <w:trHeight w:val="624"/>
        </w:trPr>
        <w:tc>
          <w:tcPr>
            <w:tcW w:w="426" w:type="dxa"/>
            <w:tcBorders>
              <w:top w:val="nil"/>
              <w:bottom w:val="nil"/>
            </w:tcBorders>
          </w:tcPr>
          <w:p w14:paraId="5A195D36" w14:textId="77777777" w:rsidR="00E60399" w:rsidRPr="008C3B45" w:rsidRDefault="00E60399" w:rsidP="009076A0">
            <w:pPr>
              <w:spacing w:line="276" w:lineRule="auto"/>
              <w:ind w:left="0" w:firstLine="0"/>
              <w:rPr>
                <w:rFonts w:ascii="Arial" w:hAnsi="Arial"/>
                <w:b/>
              </w:rPr>
            </w:pPr>
          </w:p>
        </w:tc>
        <w:tc>
          <w:tcPr>
            <w:tcW w:w="2268" w:type="dxa"/>
            <w:vAlign w:val="center"/>
          </w:tcPr>
          <w:p w14:paraId="1A19D0F0" w14:textId="77777777" w:rsidR="00E60399" w:rsidRPr="008C3B45" w:rsidRDefault="00E60399" w:rsidP="009076A0">
            <w:pPr>
              <w:spacing w:line="276" w:lineRule="auto"/>
              <w:ind w:left="0" w:firstLine="0"/>
              <w:rPr>
                <w:rFonts w:ascii="Arial" w:hAnsi="Arial"/>
                <w:b/>
              </w:rPr>
            </w:pPr>
            <w:r w:rsidRPr="008C3B45">
              <w:rPr>
                <w:rFonts w:ascii="Arial" w:hAnsi="Arial"/>
                <w:b/>
              </w:rPr>
              <w:t>Legal</w:t>
            </w:r>
          </w:p>
        </w:tc>
        <w:tc>
          <w:tcPr>
            <w:tcW w:w="3969" w:type="dxa"/>
            <w:vAlign w:val="center"/>
          </w:tcPr>
          <w:p w14:paraId="6B714560" w14:textId="77777777" w:rsidR="00E60399" w:rsidRDefault="00E60399" w:rsidP="009076A0">
            <w:pPr>
              <w:spacing w:line="276" w:lineRule="auto"/>
              <w:ind w:left="0" w:firstLine="0"/>
              <w:rPr>
                <w:rFonts w:ascii="Arial" w:hAnsi="Arial"/>
              </w:rPr>
            </w:pPr>
            <w:r>
              <w:rPr>
                <w:rFonts w:ascii="Arial" w:hAnsi="Arial"/>
              </w:rPr>
              <w:t>Simon Mansell</w:t>
            </w:r>
          </w:p>
          <w:p w14:paraId="737F6AEF" w14:textId="77777777" w:rsidR="00E60399" w:rsidRPr="008C3B45" w:rsidRDefault="00E60399" w:rsidP="009076A0">
            <w:pPr>
              <w:spacing w:line="276" w:lineRule="auto"/>
              <w:ind w:left="0" w:firstLine="0"/>
              <w:rPr>
                <w:rFonts w:ascii="Arial" w:hAnsi="Arial"/>
              </w:rPr>
            </w:pPr>
            <w:r>
              <w:rPr>
                <w:rFonts w:ascii="Arial" w:hAnsi="Arial"/>
              </w:rPr>
              <w:t>Isles of Scilly Monitoring Officer</w:t>
            </w:r>
          </w:p>
        </w:tc>
        <w:tc>
          <w:tcPr>
            <w:tcW w:w="2268" w:type="dxa"/>
            <w:vAlign w:val="center"/>
          </w:tcPr>
          <w:p w14:paraId="7A3644C9" w14:textId="73F9FE87" w:rsidR="00E60399" w:rsidRPr="008C3B45" w:rsidRDefault="00D85A2F" w:rsidP="009076A0">
            <w:pPr>
              <w:spacing w:line="276" w:lineRule="auto"/>
              <w:ind w:left="0" w:firstLine="0"/>
              <w:jc w:val="right"/>
              <w:rPr>
                <w:rFonts w:ascii="Arial" w:hAnsi="Arial"/>
              </w:rPr>
            </w:pPr>
            <w:r>
              <w:rPr>
                <w:rFonts w:ascii="Arial" w:hAnsi="Arial"/>
              </w:rPr>
              <w:t>11/10/2021</w:t>
            </w:r>
          </w:p>
        </w:tc>
      </w:tr>
    </w:tbl>
    <w:p w14:paraId="22C13117" w14:textId="77777777" w:rsidR="00E60399" w:rsidRPr="008C3B45" w:rsidRDefault="00E60399" w:rsidP="00E60399">
      <w:pPr>
        <w:pStyle w:val="Committeetemplate"/>
        <w:numPr>
          <w:ilvl w:val="0"/>
          <w:numId w:val="0"/>
        </w:numPr>
        <w:spacing w:line="276" w:lineRule="auto"/>
        <w:ind w:left="567"/>
      </w:pPr>
    </w:p>
    <w:p w14:paraId="6A6975D5" w14:textId="77777777" w:rsidR="00E60399" w:rsidRPr="008C3B45" w:rsidRDefault="00E60399" w:rsidP="00E60399">
      <w:pPr>
        <w:pStyle w:val="Committeetemplate"/>
        <w:numPr>
          <w:ilvl w:val="0"/>
          <w:numId w:val="0"/>
        </w:numPr>
        <w:spacing w:line="276" w:lineRule="auto"/>
      </w:pPr>
    </w:p>
    <w:p w14:paraId="6ADA50DB" w14:textId="77777777" w:rsidR="00E60399" w:rsidRPr="008C3B45" w:rsidRDefault="00E60399" w:rsidP="004432BA">
      <w:pPr>
        <w:spacing w:line="276" w:lineRule="auto"/>
        <w:ind w:left="0" w:firstLine="0"/>
        <w:rPr>
          <w:rFonts w:ascii="Arial" w:hAnsi="Arial"/>
          <w:b/>
          <w:sz w:val="28"/>
          <w:szCs w:val="28"/>
        </w:rPr>
      </w:pPr>
      <w:r w:rsidRPr="008C3B45">
        <w:rPr>
          <w:rFonts w:ascii="Arial" w:hAnsi="Arial"/>
          <w:b/>
          <w:sz w:val="28"/>
          <w:szCs w:val="28"/>
        </w:rPr>
        <w:t>Appendices</w:t>
      </w:r>
    </w:p>
    <w:bookmarkEnd w:id="0"/>
    <w:p w14:paraId="2B9E3A7F" w14:textId="77777777" w:rsidR="001D6F0B" w:rsidRDefault="001D6F0B" w:rsidP="001D6F0B">
      <w:pPr>
        <w:pStyle w:val="Committeetemplate"/>
        <w:numPr>
          <w:ilvl w:val="0"/>
          <w:numId w:val="0"/>
        </w:numPr>
        <w:spacing w:line="276" w:lineRule="auto"/>
        <w:ind w:left="360" w:hanging="360"/>
      </w:pPr>
      <w:r w:rsidRPr="008C3B45">
        <w:t xml:space="preserve">Appendix A: </w:t>
      </w:r>
      <w:r>
        <w:t xml:space="preserve"> Recommended Conditions</w:t>
      </w:r>
    </w:p>
    <w:p w14:paraId="7036F745" w14:textId="77777777" w:rsidR="001D6F0B" w:rsidRPr="005B2FE5" w:rsidRDefault="001D6F0B" w:rsidP="001D6F0B">
      <w:pPr>
        <w:pStyle w:val="Committeetemplate"/>
        <w:numPr>
          <w:ilvl w:val="0"/>
          <w:numId w:val="0"/>
        </w:numPr>
        <w:spacing w:line="240" w:lineRule="auto"/>
        <w:ind w:left="567" w:hanging="567"/>
        <w:rPr>
          <w:rFonts w:eastAsia="Arial"/>
          <w:b/>
          <w:bCs/>
          <w:sz w:val="20"/>
          <w:szCs w:val="20"/>
        </w:rPr>
      </w:pPr>
      <w:bookmarkStart w:id="2" w:name="_Hlk84605039"/>
      <w:r w:rsidRPr="005B2FE5">
        <w:rPr>
          <w:rFonts w:eastAsia="Arial"/>
          <w:b/>
          <w:bCs/>
          <w:sz w:val="20"/>
          <w:szCs w:val="20"/>
        </w:rPr>
        <w:t>C1</w:t>
      </w:r>
      <w:r w:rsidRPr="005B2FE5">
        <w:rPr>
          <w:rFonts w:eastAsia="Arial"/>
          <w:b/>
          <w:bCs/>
          <w:sz w:val="20"/>
          <w:szCs w:val="20"/>
        </w:rPr>
        <w:tab/>
        <w:t xml:space="preserve">The development hereby permitted shall be begun before the expiration of 3 years from the date of this permission. </w:t>
      </w:r>
    </w:p>
    <w:p w14:paraId="07B909CE" w14:textId="77777777" w:rsidR="001D6F0B" w:rsidRPr="005B2FE5" w:rsidRDefault="001D6F0B" w:rsidP="001D6F0B">
      <w:pPr>
        <w:pStyle w:val="Committeetemplate"/>
        <w:numPr>
          <w:ilvl w:val="0"/>
          <w:numId w:val="0"/>
        </w:numPr>
        <w:spacing w:line="240" w:lineRule="auto"/>
        <w:ind w:left="567"/>
        <w:rPr>
          <w:sz w:val="20"/>
          <w:szCs w:val="20"/>
        </w:rPr>
      </w:pPr>
      <w:r w:rsidRPr="005B2FE5">
        <w:rPr>
          <w:sz w:val="20"/>
          <w:szCs w:val="20"/>
        </w:rPr>
        <w:lastRenderedPageBreak/>
        <w:t xml:space="preserve">Reason: In accordance with the requirements of Section 91 of the Town and Country Planning Act 1990 (as amended by Section 51 of the Planning and Compulsory Purchase Act 2004). </w:t>
      </w:r>
    </w:p>
    <w:p w14:paraId="60B9E180" w14:textId="77777777" w:rsidR="001D6F0B" w:rsidRPr="005B2FE5" w:rsidRDefault="001D6F0B" w:rsidP="001D6F0B">
      <w:pPr>
        <w:pStyle w:val="Committeetemplate"/>
        <w:numPr>
          <w:ilvl w:val="0"/>
          <w:numId w:val="0"/>
        </w:numPr>
        <w:spacing w:line="240" w:lineRule="auto"/>
        <w:ind w:left="1287"/>
        <w:rPr>
          <w:sz w:val="20"/>
          <w:szCs w:val="20"/>
        </w:rPr>
      </w:pPr>
    </w:p>
    <w:p w14:paraId="560CD825" w14:textId="77777777" w:rsidR="001D6F0B" w:rsidRPr="005B2FE5" w:rsidRDefault="001D6F0B" w:rsidP="001D6F0B">
      <w:pPr>
        <w:ind w:left="567" w:hanging="578"/>
        <w:rPr>
          <w:rFonts w:ascii="Arial" w:eastAsia="Arial" w:hAnsi="Arial"/>
          <w:b/>
          <w:bCs/>
          <w:sz w:val="20"/>
          <w:szCs w:val="20"/>
        </w:rPr>
      </w:pPr>
      <w:r w:rsidRPr="005B2FE5">
        <w:rPr>
          <w:rFonts w:ascii="Arial" w:eastAsia="Arial" w:hAnsi="Arial"/>
          <w:b/>
          <w:bCs/>
          <w:sz w:val="20"/>
          <w:szCs w:val="20"/>
        </w:rPr>
        <w:t>C2</w:t>
      </w:r>
      <w:r w:rsidRPr="005B2FE5">
        <w:rPr>
          <w:rFonts w:ascii="Arial" w:eastAsia="Arial" w:hAnsi="Arial"/>
          <w:b/>
          <w:bCs/>
          <w:sz w:val="20"/>
          <w:szCs w:val="20"/>
        </w:rPr>
        <w:tab/>
        <w:t>The development hereby permitted shall be carried out in accordance with the approved details only including:</w:t>
      </w:r>
      <w:r w:rsidRPr="005B2FE5">
        <w:rPr>
          <w:rFonts w:ascii="Arial" w:eastAsia="Arial" w:hAnsi="Arial"/>
          <w:b/>
          <w:bCs/>
          <w:sz w:val="20"/>
          <w:szCs w:val="20"/>
        </w:rPr>
        <w:tab/>
      </w:r>
      <w:r w:rsidRPr="005B2FE5">
        <w:rPr>
          <w:rFonts w:ascii="Arial" w:eastAsia="Arial" w:hAnsi="Arial"/>
          <w:b/>
          <w:bCs/>
          <w:sz w:val="20"/>
          <w:szCs w:val="20"/>
        </w:rPr>
        <w:tab/>
      </w:r>
    </w:p>
    <w:p w14:paraId="45CCEBD1" w14:textId="3560745D" w:rsidR="001D6F0B" w:rsidRPr="005B2FE5" w:rsidRDefault="001D6F0B" w:rsidP="001D6F0B">
      <w:pPr>
        <w:widowControl w:val="0"/>
        <w:numPr>
          <w:ilvl w:val="0"/>
          <w:numId w:val="36"/>
        </w:numPr>
        <w:pBdr>
          <w:top w:val="nil"/>
          <w:left w:val="nil"/>
          <w:bottom w:val="nil"/>
          <w:right w:val="nil"/>
        </w:pBdr>
        <w:rPr>
          <w:rFonts w:ascii="Arial" w:eastAsia="Arial" w:hAnsi="Arial"/>
          <w:sz w:val="20"/>
          <w:szCs w:val="20"/>
        </w:rPr>
      </w:pPr>
      <w:r w:rsidRPr="005B2FE5">
        <w:rPr>
          <w:rFonts w:ascii="Arial" w:eastAsia="Arial" w:hAnsi="Arial"/>
          <w:b/>
          <w:bCs/>
          <w:sz w:val="20"/>
          <w:szCs w:val="20"/>
        </w:rPr>
        <w:t>Site Location Plan, Drawing Number: P</w:t>
      </w:r>
      <w:r>
        <w:rPr>
          <w:rFonts w:ascii="Arial" w:eastAsia="Arial" w:hAnsi="Arial"/>
          <w:b/>
          <w:bCs/>
          <w:sz w:val="20"/>
          <w:szCs w:val="20"/>
        </w:rPr>
        <w:t>M2000</w:t>
      </w:r>
    </w:p>
    <w:p w14:paraId="617F8BBD" w14:textId="439C473F" w:rsidR="001D6F0B" w:rsidRPr="005B2FE5" w:rsidRDefault="001D6F0B" w:rsidP="001D6F0B">
      <w:pPr>
        <w:widowControl w:val="0"/>
        <w:numPr>
          <w:ilvl w:val="0"/>
          <w:numId w:val="36"/>
        </w:numPr>
        <w:pBdr>
          <w:top w:val="nil"/>
          <w:left w:val="nil"/>
          <w:bottom w:val="nil"/>
          <w:right w:val="nil"/>
        </w:pBdr>
        <w:rPr>
          <w:rFonts w:ascii="Arial" w:eastAsia="Arial" w:hAnsi="Arial"/>
          <w:sz w:val="20"/>
          <w:szCs w:val="20"/>
        </w:rPr>
      </w:pPr>
      <w:r w:rsidRPr="005B2FE5">
        <w:rPr>
          <w:rFonts w:ascii="Arial" w:eastAsia="Arial" w:hAnsi="Arial"/>
          <w:b/>
          <w:bCs/>
          <w:sz w:val="20"/>
          <w:szCs w:val="20"/>
        </w:rPr>
        <w:t>Block Plan: Drawing number: UA008878-ARC-XX-XX-DR-CE-</w:t>
      </w:r>
      <w:r w:rsidR="00142EB5">
        <w:rPr>
          <w:rFonts w:ascii="Arial" w:eastAsia="Arial" w:hAnsi="Arial"/>
          <w:b/>
          <w:bCs/>
          <w:sz w:val="20"/>
          <w:szCs w:val="20"/>
        </w:rPr>
        <w:t>0300, Rev P3</w:t>
      </w:r>
    </w:p>
    <w:p w14:paraId="7520B131" w14:textId="0E5F8059" w:rsidR="001D6F0B" w:rsidRPr="005B2FE5" w:rsidRDefault="001D6F0B" w:rsidP="001D6F0B">
      <w:pPr>
        <w:widowControl w:val="0"/>
        <w:numPr>
          <w:ilvl w:val="0"/>
          <w:numId w:val="36"/>
        </w:numPr>
        <w:pBdr>
          <w:top w:val="nil"/>
          <w:left w:val="nil"/>
          <w:bottom w:val="nil"/>
          <w:right w:val="nil"/>
        </w:pBdr>
        <w:rPr>
          <w:rFonts w:ascii="Arial" w:eastAsia="Arial" w:hAnsi="Arial"/>
          <w:sz w:val="20"/>
          <w:szCs w:val="20"/>
        </w:rPr>
      </w:pPr>
      <w:r w:rsidRPr="005B2FE5">
        <w:rPr>
          <w:rFonts w:ascii="Arial" w:eastAsia="Arial" w:hAnsi="Arial"/>
          <w:b/>
          <w:bCs/>
          <w:sz w:val="20"/>
          <w:szCs w:val="20"/>
        </w:rPr>
        <w:t>Site Plan: Drawing number: UA008878-ARC-XX-XX-DR-CE-0</w:t>
      </w:r>
      <w:r w:rsidR="00142EB5">
        <w:rPr>
          <w:rFonts w:ascii="Arial" w:eastAsia="Arial" w:hAnsi="Arial"/>
          <w:b/>
          <w:bCs/>
          <w:sz w:val="20"/>
          <w:szCs w:val="20"/>
        </w:rPr>
        <w:t>300</w:t>
      </w:r>
      <w:r w:rsidRPr="005B2FE5">
        <w:rPr>
          <w:rFonts w:ascii="Arial" w:eastAsia="Arial" w:hAnsi="Arial"/>
          <w:b/>
          <w:bCs/>
          <w:sz w:val="20"/>
          <w:szCs w:val="20"/>
        </w:rPr>
        <w:t>, Rev P3</w:t>
      </w:r>
    </w:p>
    <w:p w14:paraId="37427F8A" w14:textId="2041646C" w:rsidR="00142EB5" w:rsidRPr="00142EB5" w:rsidRDefault="001D6F0B" w:rsidP="00142EB5">
      <w:pPr>
        <w:widowControl w:val="0"/>
        <w:numPr>
          <w:ilvl w:val="0"/>
          <w:numId w:val="36"/>
        </w:numPr>
        <w:pBdr>
          <w:top w:val="nil"/>
          <w:left w:val="nil"/>
          <w:bottom w:val="nil"/>
          <w:right w:val="nil"/>
        </w:pBdr>
        <w:rPr>
          <w:rFonts w:ascii="Arial" w:eastAsia="Arial" w:hAnsi="Arial"/>
          <w:sz w:val="20"/>
          <w:szCs w:val="20"/>
        </w:rPr>
      </w:pPr>
      <w:r w:rsidRPr="005B2FE5">
        <w:rPr>
          <w:rFonts w:ascii="Arial" w:eastAsia="Arial" w:hAnsi="Arial"/>
          <w:b/>
          <w:bCs/>
          <w:sz w:val="20"/>
          <w:szCs w:val="20"/>
        </w:rPr>
        <w:t>Design Statement, Ref: UA008878-ARC-XX-XX-</w:t>
      </w:r>
      <w:r w:rsidR="00142EB5">
        <w:rPr>
          <w:rFonts w:ascii="Arial" w:eastAsia="Arial" w:hAnsi="Arial"/>
          <w:b/>
          <w:bCs/>
          <w:sz w:val="20"/>
          <w:szCs w:val="20"/>
        </w:rPr>
        <w:t>RP-CE-0363, Rev P1</w:t>
      </w:r>
    </w:p>
    <w:p w14:paraId="1C802437" w14:textId="480D6F49" w:rsidR="001D6F0B" w:rsidRPr="00142EB5" w:rsidRDefault="001D6F0B" w:rsidP="001D6F0B">
      <w:pPr>
        <w:widowControl w:val="0"/>
        <w:numPr>
          <w:ilvl w:val="0"/>
          <w:numId w:val="36"/>
        </w:numPr>
        <w:pBdr>
          <w:top w:val="nil"/>
          <w:left w:val="nil"/>
          <w:bottom w:val="nil"/>
          <w:right w:val="nil"/>
        </w:pBdr>
        <w:rPr>
          <w:rFonts w:ascii="Arial" w:eastAsia="Arial" w:hAnsi="Arial"/>
          <w:sz w:val="20"/>
          <w:szCs w:val="20"/>
        </w:rPr>
      </w:pPr>
      <w:r w:rsidRPr="005B2FE5">
        <w:rPr>
          <w:rFonts w:ascii="Arial" w:eastAsia="Arial" w:hAnsi="Arial"/>
          <w:b/>
          <w:bCs/>
          <w:sz w:val="20"/>
          <w:szCs w:val="20"/>
        </w:rPr>
        <w:t>Proposed Plans, UA008878-ARC-XX-XX-DR-CE-0</w:t>
      </w:r>
      <w:r w:rsidR="00142EB5">
        <w:rPr>
          <w:rFonts w:ascii="Arial" w:eastAsia="Arial" w:hAnsi="Arial"/>
          <w:b/>
          <w:bCs/>
          <w:sz w:val="20"/>
          <w:szCs w:val="20"/>
        </w:rPr>
        <w:t>3</w:t>
      </w:r>
      <w:r w:rsidRPr="005B2FE5">
        <w:rPr>
          <w:rFonts w:ascii="Arial" w:eastAsia="Arial" w:hAnsi="Arial"/>
          <w:b/>
          <w:bCs/>
          <w:sz w:val="20"/>
          <w:szCs w:val="20"/>
        </w:rPr>
        <w:t>02 Rev P</w:t>
      </w:r>
      <w:r w:rsidR="00142EB5">
        <w:rPr>
          <w:rFonts w:ascii="Arial" w:eastAsia="Arial" w:hAnsi="Arial"/>
          <w:b/>
          <w:bCs/>
          <w:sz w:val="20"/>
          <w:szCs w:val="20"/>
        </w:rPr>
        <w:t>2</w:t>
      </w:r>
    </w:p>
    <w:p w14:paraId="1128489C" w14:textId="7A753495" w:rsidR="00142EB5" w:rsidRPr="00142EB5" w:rsidRDefault="00142EB5" w:rsidP="001D6F0B">
      <w:pPr>
        <w:widowControl w:val="0"/>
        <w:numPr>
          <w:ilvl w:val="0"/>
          <w:numId w:val="36"/>
        </w:numPr>
        <w:pBdr>
          <w:top w:val="nil"/>
          <w:left w:val="nil"/>
          <w:bottom w:val="nil"/>
          <w:right w:val="nil"/>
        </w:pBdr>
        <w:rPr>
          <w:rFonts w:ascii="Arial" w:eastAsia="Arial" w:hAnsi="Arial"/>
          <w:sz w:val="20"/>
          <w:szCs w:val="20"/>
        </w:rPr>
      </w:pPr>
      <w:r>
        <w:rPr>
          <w:rFonts w:ascii="Arial" w:eastAsia="Arial" w:hAnsi="Arial"/>
          <w:b/>
          <w:bCs/>
          <w:sz w:val="20"/>
          <w:szCs w:val="20"/>
        </w:rPr>
        <w:t>Proposed Rock Armour Section A: UA008878-XX-XX-DR-CE-0320, Rev P3</w:t>
      </w:r>
    </w:p>
    <w:p w14:paraId="7D6F3B2D" w14:textId="6DAE2F33" w:rsidR="00142EB5" w:rsidRPr="00142EB5" w:rsidRDefault="00142EB5" w:rsidP="001D6F0B">
      <w:pPr>
        <w:widowControl w:val="0"/>
        <w:numPr>
          <w:ilvl w:val="0"/>
          <w:numId w:val="36"/>
        </w:numPr>
        <w:pBdr>
          <w:top w:val="nil"/>
          <w:left w:val="nil"/>
          <w:bottom w:val="nil"/>
          <w:right w:val="nil"/>
        </w:pBdr>
        <w:rPr>
          <w:rFonts w:ascii="Arial" w:eastAsia="Arial" w:hAnsi="Arial"/>
          <w:sz w:val="20"/>
          <w:szCs w:val="20"/>
        </w:rPr>
      </w:pPr>
      <w:r>
        <w:rPr>
          <w:rFonts w:ascii="Arial" w:eastAsia="Arial" w:hAnsi="Arial"/>
          <w:b/>
          <w:bCs/>
          <w:sz w:val="20"/>
          <w:szCs w:val="20"/>
        </w:rPr>
        <w:t>Proposed Rock Armour Section B: UA008878-XX-XX-DR-CE-0302, Rev P3</w:t>
      </w:r>
    </w:p>
    <w:p w14:paraId="4E559AE2" w14:textId="662F6291" w:rsidR="00142EB5" w:rsidRPr="00142EB5" w:rsidRDefault="00142EB5" w:rsidP="001D6F0B">
      <w:pPr>
        <w:widowControl w:val="0"/>
        <w:numPr>
          <w:ilvl w:val="0"/>
          <w:numId w:val="36"/>
        </w:numPr>
        <w:pBdr>
          <w:top w:val="nil"/>
          <w:left w:val="nil"/>
          <w:bottom w:val="nil"/>
          <w:right w:val="nil"/>
        </w:pBdr>
        <w:rPr>
          <w:rFonts w:ascii="Arial" w:eastAsia="Arial" w:hAnsi="Arial"/>
          <w:sz w:val="20"/>
          <w:szCs w:val="20"/>
        </w:rPr>
      </w:pPr>
      <w:r>
        <w:rPr>
          <w:rFonts w:ascii="Arial" w:eastAsia="Arial" w:hAnsi="Arial"/>
          <w:b/>
          <w:bCs/>
          <w:sz w:val="20"/>
          <w:szCs w:val="20"/>
        </w:rPr>
        <w:t>Beach Access Plan, UA008878-XX-XX-DR-CE-0322, Rev P2</w:t>
      </w:r>
    </w:p>
    <w:p w14:paraId="42E5375B" w14:textId="60823E38" w:rsidR="00142EB5" w:rsidRPr="00142EB5" w:rsidRDefault="00142EB5" w:rsidP="001D6F0B">
      <w:pPr>
        <w:widowControl w:val="0"/>
        <w:numPr>
          <w:ilvl w:val="0"/>
          <w:numId w:val="36"/>
        </w:numPr>
        <w:pBdr>
          <w:top w:val="nil"/>
          <w:left w:val="nil"/>
          <w:bottom w:val="nil"/>
          <w:right w:val="nil"/>
        </w:pBdr>
        <w:rPr>
          <w:rFonts w:ascii="Arial" w:eastAsia="Arial" w:hAnsi="Arial"/>
          <w:sz w:val="20"/>
          <w:szCs w:val="20"/>
        </w:rPr>
      </w:pPr>
      <w:r>
        <w:rPr>
          <w:rFonts w:ascii="Arial" w:eastAsia="Arial" w:hAnsi="Arial"/>
          <w:b/>
          <w:bCs/>
          <w:sz w:val="20"/>
          <w:szCs w:val="20"/>
        </w:rPr>
        <w:t>Trial Pits Plan, UA008878-XX-XX-DR-CE-0301, Rev P01</w:t>
      </w:r>
    </w:p>
    <w:p w14:paraId="7F99D15E" w14:textId="0B63DABD" w:rsidR="00142EB5" w:rsidRPr="005B2FE5" w:rsidRDefault="00142EB5" w:rsidP="001D6F0B">
      <w:pPr>
        <w:widowControl w:val="0"/>
        <w:numPr>
          <w:ilvl w:val="0"/>
          <w:numId w:val="36"/>
        </w:numPr>
        <w:pBdr>
          <w:top w:val="nil"/>
          <w:left w:val="nil"/>
          <w:bottom w:val="nil"/>
          <w:right w:val="nil"/>
        </w:pBdr>
        <w:rPr>
          <w:rFonts w:ascii="Arial" w:eastAsia="Arial" w:hAnsi="Arial"/>
          <w:sz w:val="20"/>
          <w:szCs w:val="20"/>
        </w:rPr>
      </w:pPr>
      <w:r>
        <w:rPr>
          <w:rFonts w:ascii="Arial" w:eastAsia="Arial" w:hAnsi="Arial"/>
          <w:b/>
          <w:bCs/>
          <w:sz w:val="20"/>
          <w:szCs w:val="20"/>
        </w:rPr>
        <w:t>H&amp;S Design Hazard: UA008878-ARC-XX-XX-HS-CE-0362, Rev P2</w:t>
      </w:r>
    </w:p>
    <w:p w14:paraId="7AFA2440" w14:textId="77777777" w:rsidR="001D6F0B" w:rsidRPr="005B2FE5" w:rsidRDefault="001D6F0B" w:rsidP="001D6F0B">
      <w:pPr>
        <w:widowControl w:val="0"/>
        <w:pBdr>
          <w:top w:val="nil"/>
          <w:left w:val="nil"/>
          <w:bottom w:val="nil"/>
          <w:right w:val="nil"/>
        </w:pBdr>
        <w:ind w:left="567" w:firstLine="0"/>
        <w:rPr>
          <w:rFonts w:ascii="Arial" w:eastAsia="Arial" w:hAnsi="Arial"/>
          <w:sz w:val="20"/>
          <w:szCs w:val="20"/>
        </w:rPr>
      </w:pPr>
      <w:r w:rsidRPr="005B2FE5">
        <w:rPr>
          <w:rFonts w:ascii="Arial" w:eastAsia="Arial" w:hAnsi="Arial"/>
          <w:b/>
          <w:bCs/>
          <w:sz w:val="20"/>
          <w:szCs w:val="20"/>
        </w:rPr>
        <w:t>These are stamped as APPROVED</w:t>
      </w:r>
      <w:r w:rsidRPr="005B2FE5">
        <w:rPr>
          <w:rFonts w:ascii="Arial" w:eastAsia="Arial" w:hAnsi="Arial"/>
          <w:sz w:val="20"/>
          <w:szCs w:val="20"/>
        </w:rPr>
        <w:tab/>
      </w:r>
      <w:r w:rsidRPr="005B2FE5">
        <w:rPr>
          <w:rFonts w:ascii="Arial" w:eastAsia="Arial" w:hAnsi="Arial"/>
          <w:sz w:val="20"/>
          <w:szCs w:val="20"/>
        </w:rPr>
        <w:tab/>
      </w:r>
    </w:p>
    <w:p w14:paraId="694DAD06" w14:textId="2A6C0622" w:rsidR="001D6F0B" w:rsidRPr="005B2FE5" w:rsidRDefault="001D6F0B" w:rsidP="001D6F0B">
      <w:pPr>
        <w:ind w:left="567" w:hanging="11"/>
        <w:rPr>
          <w:rFonts w:ascii="Arial" w:eastAsia="Arial" w:hAnsi="Arial"/>
          <w:sz w:val="20"/>
          <w:szCs w:val="20"/>
        </w:rPr>
      </w:pPr>
      <w:bookmarkStart w:id="3" w:name="_Hlk84839908"/>
      <w:r w:rsidRPr="005B2FE5">
        <w:rPr>
          <w:rFonts w:ascii="Arial" w:eastAsia="Arial" w:hAnsi="Arial"/>
          <w:sz w:val="20"/>
          <w:szCs w:val="20"/>
        </w:rPr>
        <w:t xml:space="preserve">Reason: For the clarity and avoidance of doubt and in the interests of the character and appearance of the Conservation Area, Area of Outstanding Natural Beauty and Heritage Coast in accordance with </w:t>
      </w:r>
      <w:r w:rsidR="00142EB5">
        <w:rPr>
          <w:rFonts w:ascii="Arial" w:eastAsia="Arial" w:hAnsi="Arial"/>
          <w:sz w:val="20"/>
          <w:szCs w:val="20"/>
        </w:rPr>
        <w:t xml:space="preserve">Policies </w:t>
      </w:r>
      <w:r w:rsidRPr="005B2FE5">
        <w:rPr>
          <w:rFonts w:ascii="Arial" w:eastAsia="Arial" w:hAnsi="Arial"/>
          <w:sz w:val="20"/>
          <w:szCs w:val="20"/>
        </w:rPr>
        <w:t>OE1 and OE7 of the Isles of Scilly Local Plan (2015-2030).</w:t>
      </w:r>
    </w:p>
    <w:bookmarkEnd w:id="3"/>
    <w:p w14:paraId="63F3B018" w14:textId="77777777" w:rsidR="001D6F0B" w:rsidRPr="005B2FE5" w:rsidRDefault="001D6F0B" w:rsidP="001D6F0B">
      <w:pPr>
        <w:tabs>
          <w:tab w:val="left" w:pos="1134"/>
        </w:tabs>
        <w:rPr>
          <w:rFonts w:ascii="Arial" w:hAnsi="Arial"/>
          <w:sz w:val="20"/>
          <w:szCs w:val="20"/>
        </w:rPr>
      </w:pPr>
    </w:p>
    <w:p w14:paraId="16B77EA9" w14:textId="77777777" w:rsidR="001D6F0B" w:rsidRPr="005B2FE5" w:rsidRDefault="001D6F0B" w:rsidP="001D6F0B">
      <w:pPr>
        <w:ind w:left="567" w:hanging="567"/>
        <w:rPr>
          <w:rFonts w:ascii="Arial" w:eastAsia="Calibri" w:hAnsi="Arial"/>
          <w:b/>
          <w:bCs/>
          <w:sz w:val="20"/>
          <w:szCs w:val="20"/>
          <w:lang w:eastAsia="en-GB"/>
        </w:rPr>
      </w:pPr>
      <w:r w:rsidRPr="005B2FE5">
        <w:rPr>
          <w:rFonts w:ascii="Arial" w:eastAsia="Calibri" w:hAnsi="Arial"/>
          <w:b/>
          <w:bCs/>
          <w:sz w:val="20"/>
          <w:szCs w:val="20"/>
          <w:lang w:eastAsia="en-GB"/>
        </w:rPr>
        <w:t>C3</w:t>
      </w:r>
      <w:r w:rsidRPr="005B2FE5">
        <w:rPr>
          <w:rFonts w:ascii="Arial" w:eastAsia="Calibri" w:hAnsi="Arial"/>
          <w:b/>
          <w:bCs/>
          <w:sz w:val="20"/>
          <w:szCs w:val="20"/>
          <w:lang w:eastAsia="en-GB"/>
        </w:rPr>
        <w:tab/>
      </w:r>
      <w:bookmarkStart w:id="4" w:name="_Hlk84609582"/>
      <w:r w:rsidRPr="005B2FE5">
        <w:rPr>
          <w:rFonts w:ascii="Arial" w:eastAsia="Calibri" w:hAnsi="Arial"/>
          <w:b/>
          <w:bCs/>
          <w:sz w:val="20"/>
          <w:szCs w:val="20"/>
          <w:lang w:eastAsia="en-GB"/>
        </w:rPr>
        <w:t>No development shall take place, including any works of transporting materials to the site, until a Construction Environmental Management Plan (CEMP) in addition to the indicative method statement, has been submitted to and approved in writing by, the local planning authority. The approved Statement shall be adhered to throughout the construction period. The CEMP shall incorporate:</w:t>
      </w:r>
      <w:r w:rsidRPr="005B2FE5">
        <w:rPr>
          <w:rFonts w:ascii="Arial" w:eastAsia="Calibri" w:hAnsi="Arial"/>
          <w:b/>
          <w:bCs/>
          <w:sz w:val="20"/>
          <w:szCs w:val="20"/>
          <w:lang w:eastAsia="en-GB"/>
        </w:rPr>
        <w:tab/>
      </w:r>
    </w:p>
    <w:p w14:paraId="1882C920" w14:textId="77777777" w:rsidR="001D6F0B" w:rsidRPr="005B2FE5" w:rsidRDefault="001D6F0B" w:rsidP="001D6F0B">
      <w:pPr>
        <w:pStyle w:val="ListParagraph"/>
        <w:numPr>
          <w:ilvl w:val="0"/>
          <w:numId w:val="34"/>
        </w:numPr>
        <w:rPr>
          <w:rFonts w:ascii="Arial" w:eastAsia="Calibri" w:hAnsi="Arial"/>
          <w:b/>
          <w:bCs/>
          <w:sz w:val="20"/>
          <w:szCs w:val="20"/>
          <w:lang w:eastAsia="en-GB"/>
        </w:rPr>
      </w:pPr>
      <w:r w:rsidRPr="005B2FE5">
        <w:rPr>
          <w:rFonts w:ascii="Arial" w:eastAsia="Calibri" w:hAnsi="Arial"/>
          <w:b/>
          <w:bCs/>
          <w:sz w:val="20"/>
          <w:szCs w:val="20"/>
          <w:lang w:eastAsia="en-GB"/>
        </w:rPr>
        <w:t>The timing of intended implementation, to avoid conflicting with breeding birds or harm to biodiversity features;</w:t>
      </w:r>
    </w:p>
    <w:p w14:paraId="6C6A9F26" w14:textId="77777777" w:rsidR="001D6F0B" w:rsidRPr="005B2FE5" w:rsidRDefault="001D6F0B" w:rsidP="001D6F0B">
      <w:pPr>
        <w:pStyle w:val="ListParagraph"/>
        <w:numPr>
          <w:ilvl w:val="0"/>
          <w:numId w:val="34"/>
        </w:numPr>
        <w:rPr>
          <w:rFonts w:ascii="Arial" w:eastAsia="Calibri" w:hAnsi="Arial"/>
          <w:b/>
          <w:bCs/>
          <w:sz w:val="20"/>
          <w:szCs w:val="20"/>
          <w:lang w:eastAsia="en-GB"/>
        </w:rPr>
      </w:pPr>
      <w:r w:rsidRPr="005B2FE5">
        <w:rPr>
          <w:rFonts w:ascii="Arial" w:hAnsi="Arial"/>
          <w:b/>
          <w:bCs/>
          <w:sz w:val="20"/>
          <w:szCs w:val="20"/>
        </w:rPr>
        <w:t xml:space="preserve">The times during construction when specialist ecologists need to be present on site to oversee works, if required; </w:t>
      </w:r>
    </w:p>
    <w:p w14:paraId="51685C6E" w14:textId="77777777" w:rsidR="001D6F0B" w:rsidRPr="005B2FE5" w:rsidRDefault="001D6F0B" w:rsidP="001D6F0B">
      <w:pPr>
        <w:pStyle w:val="ListParagraph"/>
        <w:numPr>
          <w:ilvl w:val="0"/>
          <w:numId w:val="34"/>
        </w:numPr>
        <w:rPr>
          <w:rFonts w:ascii="Arial" w:eastAsia="Calibri" w:hAnsi="Arial"/>
          <w:b/>
          <w:bCs/>
          <w:sz w:val="20"/>
          <w:szCs w:val="20"/>
          <w:lang w:eastAsia="en-GB"/>
        </w:rPr>
      </w:pPr>
      <w:r w:rsidRPr="005B2FE5">
        <w:rPr>
          <w:rFonts w:ascii="Arial" w:hAnsi="Arial"/>
          <w:b/>
          <w:bCs/>
          <w:sz w:val="20"/>
          <w:szCs w:val="20"/>
        </w:rPr>
        <w:t xml:space="preserve">Responsible persons and lines of communication; </w:t>
      </w:r>
    </w:p>
    <w:p w14:paraId="2BAEC9E5" w14:textId="77777777" w:rsidR="001D6F0B" w:rsidRPr="005B2FE5" w:rsidRDefault="001D6F0B" w:rsidP="001D6F0B">
      <w:pPr>
        <w:pStyle w:val="ListParagraph"/>
        <w:numPr>
          <w:ilvl w:val="0"/>
          <w:numId w:val="34"/>
        </w:numPr>
        <w:rPr>
          <w:rFonts w:ascii="Arial" w:eastAsia="Calibri" w:hAnsi="Arial"/>
          <w:b/>
          <w:bCs/>
          <w:sz w:val="20"/>
          <w:szCs w:val="20"/>
          <w:lang w:eastAsia="en-GB"/>
        </w:rPr>
      </w:pPr>
      <w:r w:rsidRPr="005B2FE5">
        <w:rPr>
          <w:rFonts w:ascii="Arial" w:hAnsi="Arial"/>
          <w:b/>
          <w:bCs/>
          <w:sz w:val="20"/>
          <w:szCs w:val="20"/>
        </w:rPr>
        <w:t xml:space="preserve">Monitoring, reporting and emergency responses; </w:t>
      </w:r>
    </w:p>
    <w:p w14:paraId="6B84192D" w14:textId="77777777" w:rsidR="001D6F0B" w:rsidRPr="005B2FE5" w:rsidRDefault="001D6F0B" w:rsidP="001D6F0B">
      <w:pPr>
        <w:pStyle w:val="ListParagraph"/>
        <w:numPr>
          <w:ilvl w:val="0"/>
          <w:numId w:val="34"/>
        </w:numPr>
        <w:rPr>
          <w:rFonts w:ascii="Arial" w:eastAsia="Calibri" w:hAnsi="Arial"/>
          <w:b/>
          <w:bCs/>
          <w:sz w:val="20"/>
          <w:szCs w:val="20"/>
          <w:lang w:eastAsia="en-GB"/>
        </w:rPr>
      </w:pPr>
      <w:r w:rsidRPr="005B2FE5">
        <w:rPr>
          <w:rFonts w:ascii="Arial" w:hAnsi="Arial"/>
          <w:b/>
          <w:bCs/>
          <w:sz w:val="20"/>
          <w:szCs w:val="20"/>
        </w:rPr>
        <w:t>The role and responsibilities on site of an ecological clerk of works (ECoW) or similarly competent person;</w:t>
      </w:r>
    </w:p>
    <w:p w14:paraId="45C6BC06" w14:textId="77777777" w:rsidR="001D6F0B" w:rsidRPr="005B2FE5" w:rsidRDefault="001D6F0B" w:rsidP="001D6F0B">
      <w:pPr>
        <w:pStyle w:val="ListParagraph"/>
        <w:numPr>
          <w:ilvl w:val="0"/>
          <w:numId w:val="34"/>
        </w:numPr>
        <w:rPr>
          <w:rFonts w:ascii="Arial" w:eastAsia="Calibri" w:hAnsi="Arial"/>
          <w:b/>
          <w:bCs/>
          <w:sz w:val="20"/>
          <w:szCs w:val="20"/>
          <w:lang w:eastAsia="en-GB"/>
        </w:rPr>
      </w:pPr>
      <w:r w:rsidRPr="005B2FE5">
        <w:rPr>
          <w:rFonts w:ascii="Arial" w:eastAsia="Arial" w:hAnsi="Arial"/>
          <w:b/>
          <w:bCs/>
          <w:sz w:val="20"/>
          <w:szCs w:val="20"/>
        </w:rPr>
        <w:t>industry standard, best-practice measures to control site run-off, manage soils and waste, manage fuel and other materials to prevent spillages and also emergency procedures in the event of a pollution incident;</w:t>
      </w:r>
    </w:p>
    <w:p w14:paraId="74280293" w14:textId="6170797F" w:rsidR="001D6F0B" w:rsidRDefault="001D6F0B" w:rsidP="001D6F0B">
      <w:pPr>
        <w:pStyle w:val="ListParagraph"/>
        <w:numPr>
          <w:ilvl w:val="0"/>
          <w:numId w:val="35"/>
        </w:numPr>
        <w:rPr>
          <w:rFonts w:ascii="Arial" w:eastAsia="Arial" w:hAnsi="Arial"/>
          <w:b/>
          <w:bCs/>
          <w:sz w:val="20"/>
          <w:szCs w:val="20"/>
        </w:rPr>
      </w:pPr>
      <w:r w:rsidRPr="005B2FE5">
        <w:rPr>
          <w:rFonts w:ascii="Arial" w:eastAsia="Arial" w:hAnsi="Arial"/>
          <w:b/>
          <w:bCs/>
          <w:sz w:val="20"/>
          <w:szCs w:val="20"/>
        </w:rPr>
        <w:t>standard best practice construction measures to avoid significant disturbance of adjacent features (human neighbours and, consequently, nesting and wintering bird populations within the</w:t>
      </w:r>
      <w:r>
        <w:rPr>
          <w:rFonts w:ascii="Arial" w:eastAsia="Arial" w:hAnsi="Arial"/>
          <w:b/>
          <w:bCs/>
          <w:sz w:val="20"/>
          <w:szCs w:val="20"/>
        </w:rPr>
        <w:t xml:space="preserve"> nearby Lower Moors</w:t>
      </w:r>
      <w:r w:rsidRPr="005B2FE5">
        <w:rPr>
          <w:rFonts w:ascii="Arial" w:eastAsia="Arial" w:hAnsi="Arial"/>
          <w:b/>
          <w:bCs/>
          <w:sz w:val="20"/>
          <w:szCs w:val="20"/>
        </w:rPr>
        <w:t xml:space="preserve"> SSSI, interest features of the SAC and SPA) arising from vibration, artificial lighting and noise effects;</w:t>
      </w:r>
    </w:p>
    <w:p w14:paraId="32F1EBBB" w14:textId="312EB0DB" w:rsidR="00FA2E10" w:rsidRPr="00FA2E10" w:rsidRDefault="00FA2E10" w:rsidP="00FA2E10">
      <w:pPr>
        <w:pStyle w:val="ListParagraph"/>
        <w:numPr>
          <w:ilvl w:val="0"/>
          <w:numId w:val="35"/>
        </w:numPr>
        <w:rPr>
          <w:rFonts w:ascii="Arial" w:eastAsia="Arial" w:hAnsi="Arial"/>
          <w:b/>
          <w:bCs/>
          <w:sz w:val="20"/>
          <w:szCs w:val="20"/>
        </w:rPr>
      </w:pPr>
      <w:r w:rsidRPr="00FA2E10">
        <w:rPr>
          <w:rFonts w:ascii="Arial" w:eastAsia="Arial" w:hAnsi="Arial"/>
          <w:b/>
          <w:bCs/>
          <w:sz w:val="20"/>
          <w:szCs w:val="20"/>
        </w:rPr>
        <w:t>An archaeological Watching Brief during delivery of construction materials to monitor the potential for any impacts on buried remains in the inter-tidal area</w:t>
      </w:r>
      <w:r w:rsidRPr="005B2FE5">
        <w:rPr>
          <w:rFonts w:ascii="Arial" w:eastAsia="Arial" w:hAnsi="Arial"/>
          <w:b/>
          <w:bCs/>
          <w:sz w:val="20"/>
          <w:szCs w:val="20"/>
        </w:rPr>
        <w:t xml:space="preserve"> (in case of unforeseen ground conditions occurring), details of the use and management of materials, waste management, a plan for Verification Control Documents; </w:t>
      </w:r>
    </w:p>
    <w:p w14:paraId="64388F93" w14:textId="77777777" w:rsidR="001D6F0B" w:rsidRPr="005B2FE5" w:rsidRDefault="001D6F0B" w:rsidP="001D6F0B">
      <w:pPr>
        <w:pStyle w:val="ListParagraph"/>
        <w:numPr>
          <w:ilvl w:val="0"/>
          <w:numId w:val="35"/>
        </w:numPr>
        <w:rPr>
          <w:rFonts w:ascii="Arial" w:eastAsia="Arial" w:hAnsi="Arial"/>
          <w:b/>
          <w:bCs/>
          <w:sz w:val="20"/>
          <w:szCs w:val="20"/>
        </w:rPr>
      </w:pPr>
      <w:r w:rsidRPr="005B2FE5">
        <w:rPr>
          <w:rFonts w:ascii="Arial" w:eastAsia="Arial" w:hAnsi="Arial"/>
          <w:b/>
          <w:bCs/>
          <w:sz w:val="20"/>
          <w:szCs w:val="20"/>
        </w:rPr>
        <w:t xml:space="preserve">risk assessments and method statements in light of revealed conditions (relating to Health and Safety and buried services) as well as to take account the recommendations of Foundation Works Risk Assessment (if required); </w:t>
      </w:r>
    </w:p>
    <w:p w14:paraId="68E8E626" w14:textId="77777777" w:rsidR="001D6F0B" w:rsidRPr="005B2FE5" w:rsidRDefault="001D6F0B" w:rsidP="001D6F0B">
      <w:pPr>
        <w:pStyle w:val="ListParagraph"/>
        <w:numPr>
          <w:ilvl w:val="0"/>
          <w:numId w:val="34"/>
        </w:numPr>
        <w:rPr>
          <w:rFonts w:ascii="Arial" w:eastAsia="Calibri" w:hAnsi="Arial"/>
          <w:b/>
          <w:bCs/>
          <w:sz w:val="20"/>
          <w:szCs w:val="20"/>
          <w:lang w:eastAsia="en-GB"/>
        </w:rPr>
      </w:pPr>
      <w:r w:rsidRPr="005B2FE5">
        <w:rPr>
          <w:rFonts w:ascii="Arial" w:eastAsia="Arial" w:hAnsi="Arial"/>
          <w:b/>
          <w:bCs/>
          <w:sz w:val="20"/>
          <w:szCs w:val="20"/>
        </w:rPr>
        <w:t>area(s) for t</w:t>
      </w:r>
      <w:r w:rsidRPr="005B2FE5">
        <w:rPr>
          <w:rFonts w:ascii="Arial" w:eastAsia="Calibri" w:hAnsi="Arial"/>
          <w:b/>
          <w:bCs/>
          <w:sz w:val="20"/>
          <w:szCs w:val="20"/>
          <w:lang w:eastAsia="en-GB"/>
        </w:rPr>
        <w:t>he parking of vehicles of site operatives;</w:t>
      </w:r>
    </w:p>
    <w:p w14:paraId="49D22149" w14:textId="77777777" w:rsidR="001D6F0B" w:rsidRPr="005B2FE5" w:rsidRDefault="001D6F0B" w:rsidP="001D6F0B">
      <w:pPr>
        <w:pStyle w:val="ListParagraph"/>
        <w:numPr>
          <w:ilvl w:val="0"/>
          <w:numId w:val="34"/>
        </w:numPr>
        <w:rPr>
          <w:rFonts w:ascii="Arial" w:eastAsia="Calibri" w:hAnsi="Arial"/>
          <w:b/>
          <w:bCs/>
          <w:sz w:val="20"/>
          <w:szCs w:val="20"/>
          <w:lang w:eastAsia="en-GB"/>
        </w:rPr>
      </w:pPr>
      <w:r w:rsidRPr="005B2FE5">
        <w:rPr>
          <w:rFonts w:ascii="Arial" w:eastAsia="Calibri" w:hAnsi="Arial"/>
          <w:b/>
          <w:bCs/>
          <w:sz w:val="20"/>
          <w:szCs w:val="20"/>
          <w:lang w:eastAsia="en-GB"/>
        </w:rPr>
        <w:t>space for the loading and unloading of plant and materials;</w:t>
      </w:r>
    </w:p>
    <w:p w14:paraId="1D53D36D" w14:textId="77777777" w:rsidR="001D6F0B" w:rsidRPr="005B2FE5" w:rsidRDefault="001D6F0B" w:rsidP="001D6F0B">
      <w:pPr>
        <w:pStyle w:val="ListParagraph"/>
        <w:numPr>
          <w:ilvl w:val="0"/>
          <w:numId w:val="34"/>
        </w:numPr>
        <w:rPr>
          <w:rFonts w:ascii="Arial" w:eastAsia="Calibri" w:hAnsi="Arial"/>
          <w:b/>
          <w:bCs/>
          <w:sz w:val="20"/>
          <w:szCs w:val="20"/>
          <w:lang w:eastAsia="en-GB"/>
        </w:rPr>
      </w:pPr>
      <w:r w:rsidRPr="005B2FE5">
        <w:rPr>
          <w:rFonts w:ascii="Arial" w:eastAsia="Calibri" w:hAnsi="Arial"/>
          <w:b/>
          <w:bCs/>
          <w:sz w:val="20"/>
          <w:szCs w:val="20"/>
          <w:lang w:eastAsia="en-GB"/>
        </w:rPr>
        <w:t xml:space="preserve">storage of plant and materials used in constructing the development; </w:t>
      </w:r>
      <w:r w:rsidRPr="005B2FE5">
        <w:rPr>
          <w:rFonts w:ascii="Arial" w:eastAsia="Calibri" w:hAnsi="Arial"/>
          <w:b/>
          <w:bCs/>
          <w:sz w:val="20"/>
          <w:szCs w:val="20"/>
          <w:lang w:eastAsia="en-GB"/>
        </w:rPr>
        <w:tab/>
      </w:r>
    </w:p>
    <w:p w14:paraId="33E2B146" w14:textId="77777777" w:rsidR="001D6F0B" w:rsidRPr="005B2FE5" w:rsidRDefault="001D6F0B" w:rsidP="001D6F0B">
      <w:pPr>
        <w:pStyle w:val="ListParagraph"/>
        <w:numPr>
          <w:ilvl w:val="0"/>
          <w:numId w:val="34"/>
        </w:numPr>
        <w:rPr>
          <w:rFonts w:ascii="Arial" w:eastAsia="Calibri" w:hAnsi="Arial"/>
          <w:b/>
          <w:bCs/>
          <w:sz w:val="20"/>
          <w:szCs w:val="20"/>
          <w:lang w:eastAsia="en-GB"/>
        </w:rPr>
      </w:pPr>
      <w:r w:rsidRPr="005B2FE5">
        <w:rPr>
          <w:rFonts w:ascii="Arial" w:eastAsia="Calibri" w:hAnsi="Arial"/>
          <w:b/>
          <w:bCs/>
          <w:sz w:val="20"/>
          <w:szCs w:val="20"/>
          <w:lang w:eastAsia="en-GB"/>
        </w:rPr>
        <w:t>construction vehicles wheel washing facilities, if required;</w:t>
      </w:r>
    </w:p>
    <w:p w14:paraId="1AB79882" w14:textId="77777777" w:rsidR="001D6F0B" w:rsidRPr="005B2FE5" w:rsidRDefault="001D6F0B" w:rsidP="001D6F0B">
      <w:pPr>
        <w:pStyle w:val="ListParagraph"/>
        <w:numPr>
          <w:ilvl w:val="0"/>
          <w:numId w:val="34"/>
        </w:numPr>
        <w:rPr>
          <w:rFonts w:ascii="Arial" w:eastAsia="Calibri" w:hAnsi="Arial"/>
          <w:b/>
          <w:bCs/>
          <w:sz w:val="20"/>
          <w:szCs w:val="20"/>
          <w:lang w:eastAsia="en-GB"/>
        </w:rPr>
      </w:pPr>
      <w:r w:rsidRPr="005B2FE5">
        <w:rPr>
          <w:rFonts w:ascii="Arial" w:eastAsia="Calibri" w:hAnsi="Arial"/>
          <w:b/>
          <w:bCs/>
          <w:sz w:val="20"/>
          <w:szCs w:val="20"/>
          <w:lang w:eastAsia="en-GB"/>
        </w:rPr>
        <w:t>measures to control the emission of dust and dirt during construction;</w:t>
      </w:r>
    </w:p>
    <w:p w14:paraId="1062710C" w14:textId="77777777" w:rsidR="001D6F0B" w:rsidRPr="005B2FE5" w:rsidRDefault="001D6F0B" w:rsidP="001D6F0B">
      <w:pPr>
        <w:pStyle w:val="ListParagraph"/>
        <w:numPr>
          <w:ilvl w:val="0"/>
          <w:numId w:val="34"/>
        </w:numPr>
        <w:rPr>
          <w:rFonts w:ascii="Arial" w:eastAsia="Calibri" w:hAnsi="Arial"/>
          <w:b/>
          <w:bCs/>
          <w:sz w:val="20"/>
          <w:szCs w:val="20"/>
          <w:lang w:eastAsia="en-GB"/>
        </w:rPr>
      </w:pPr>
      <w:r w:rsidRPr="005B2FE5">
        <w:rPr>
          <w:rFonts w:ascii="Arial" w:eastAsia="Calibri" w:hAnsi="Arial"/>
          <w:b/>
          <w:bCs/>
          <w:sz w:val="20"/>
          <w:szCs w:val="20"/>
          <w:lang w:eastAsia="en-GB"/>
        </w:rPr>
        <w:t xml:space="preserve">a detailed scheme for reducing/re-using/recycling/disposing of waste resulting from the works. </w:t>
      </w:r>
    </w:p>
    <w:p w14:paraId="2B978738" w14:textId="77777777" w:rsidR="001D6F0B" w:rsidRPr="005B2FE5" w:rsidRDefault="001D6F0B" w:rsidP="001D6F0B">
      <w:pPr>
        <w:pStyle w:val="ListParagraph"/>
        <w:numPr>
          <w:ilvl w:val="0"/>
          <w:numId w:val="34"/>
        </w:numPr>
        <w:rPr>
          <w:rFonts w:ascii="Arial" w:hAnsi="Arial"/>
          <w:b/>
          <w:bCs/>
          <w:sz w:val="20"/>
          <w:szCs w:val="20"/>
          <w:lang w:eastAsia="en-GB"/>
        </w:rPr>
      </w:pPr>
      <w:r w:rsidRPr="005B2FE5">
        <w:rPr>
          <w:rFonts w:ascii="Arial" w:hAnsi="Arial"/>
          <w:b/>
          <w:bCs/>
          <w:sz w:val="20"/>
          <w:szCs w:val="20"/>
          <w:lang w:eastAsia="en-GB"/>
        </w:rPr>
        <w:lastRenderedPageBreak/>
        <w:t xml:space="preserve">Details of any signage and protective barriers in relation to notifying users of the area, of the timescales of the works, including signs to re-direct or safeguard footpath users from avoiding the site works.  </w:t>
      </w:r>
    </w:p>
    <w:p w14:paraId="6F2B291C" w14:textId="77777777" w:rsidR="001D6F0B" w:rsidRPr="005B2FE5" w:rsidRDefault="001D6F0B" w:rsidP="001D6F0B">
      <w:pPr>
        <w:ind w:left="567" w:firstLine="0"/>
        <w:rPr>
          <w:rFonts w:ascii="Arial" w:eastAsia="Calibri" w:hAnsi="Arial"/>
          <w:b/>
          <w:bCs/>
          <w:sz w:val="20"/>
          <w:szCs w:val="20"/>
          <w:lang w:eastAsia="en-GB"/>
        </w:rPr>
      </w:pPr>
      <w:r w:rsidRPr="005B2FE5">
        <w:rPr>
          <w:rFonts w:ascii="Arial" w:eastAsia="Calibri" w:hAnsi="Arial"/>
          <w:b/>
          <w:bCs/>
          <w:sz w:val="20"/>
          <w:szCs w:val="20"/>
          <w:lang w:eastAsia="en-GB"/>
        </w:rPr>
        <w:t>On completion of the development any contractors compound, temporary access and all plant, machinery, fencing, lighting and any other equipment or structures used as part of the construction process shall be removed from the site and, where appropriate, the land reinstated to its former condition within three months.</w:t>
      </w:r>
      <w:r w:rsidRPr="005B2FE5">
        <w:rPr>
          <w:rFonts w:ascii="Arial" w:eastAsia="Calibri" w:hAnsi="Arial"/>
          <w:b/>
          <w:bCs/>
          <w:sz w:val="20"/>
          <w:szCs w:val="20"/>
          <w:lang w:eastAsia="en-GB"/>
        </w:rPr>
        <w:tab/>
      </w:r>
    </w:p>
    <w:p w14:paraId="08B7AEB1" w14:textId="77777777" w:rsidR="004C401F" w:rsidRPr="005B2FE5" w:rsidRDefault="004C401F" w:rsidP="004C401F">
      <w:pPr>
        <w:ind w:left="567" w:firstLine="0"/>
        <w:rPr>
          <w:rFonts w:ascii="Arial" w:eastAsia="Arial" w:hAnsi="Arial"/>
          <w:sz w:val="20"/>
          <w:szCs w:val="20"/>
        </w:rPr>
      </w:pPr>
      <w:bookmarkStart w:id="5" w:name="_Hlk84839418"/>
      <w:bookmarkEnd w:id="4"/>
      <w:r w:rsidRPr="005B2FE5">
        <w:rPr>
          <w:rFonts w:ascii="Arial" w:eastAsia="Arial" w:hAnsi="Arial"/>
          <w:sz w:val="20"/>
          <w:szCs w:val="20"/>
        </w:rPr>
        <w:t>Reason: This is a pre-commencement condition that requires details that were not submitted as part of the application, but are required to fully understand the impact upon the Islands natural environment designation and to ensure that the construction of the development is adequately controlled and to protect the amenities of the area and essential infrastructure in accordance with Polic</w:t>
      </w:r>
      <w:r>
        <w:rPr>
          <w:rFonts w:ascii="Arial" w:eastAsia="Arial" w:hAnsi="Arial"/>
          <w:sz w:val="20"/>
          <w:szCs w:val="20"/>
        </w:rPr>
        <w:t>ies</w:t>
      </w:r>
      <w:r w:rsidRPr="005B2FE5">
        <w:rPr>
          <w:rFonts w:ascii="Arial" w:eastAsia="Arial" w:hAnsi="Arial"/>
          <w:sz w:val="20"/>
          <w:szCs w:val="20"/>
        </w:rPr>
        <w:t xml:space="preserve"> SS2</w:t>
      </w:r>
      <w:r>
        <w:rPr>
          <w:rFonts w:ascii="Arial" w:eastAsia="Arial" w:hAnsi="Arial"/>
          <w:sz w:val="20"/>
          <w:szCs w:val="20"/>
        </w:rPr>
        <w:t xml:space="preserve">, </w:t>
      </w:r>
      <w:r w:rsidRPr="005B2FE5">
        <w:rPr>
          <w:rFonts w:ascii="Arial" w:eastAsia="Arial" w:hAnsi="Arial"/>
          <w:sz w:val="20"/>
          <w:szCs w:val="20"/>
        </w:rPr>
        <w:t>OE2</w:t>
      </w:r>
      <w:r>
        <w:rPr>
          <w:rFonts w:ascii="Arial" w:eastAsia="Arial" w:hAnsi="Arial"/>
          <w:sz w:val="20"/>
          <w:szCs w:val="20"/>
        </w:rPr>
        <w:t xml:space="preserve"> and SS7</w:t>
      </w:r>
      <w:r w:rsidRPr="005B2FE5">
        <w:rPr>
          <w:rFonts w:ascii="Arial" w:eastAsia="Arial" w:hAnsi="Arial"/>
          <w:sz w:val="20"/>
          <w:szCs w:val="20"/>
        </w:rPr>
        <w:t xml:space="preserve"> of </w:t>
      </w:r>
      <w:r>
        <w:rPr>
          <w:rFonts w:ascii="Arial" w:eastAsia="Arial" w:hAnsi="Arial"/>
          <w:sz w:val="20"/>
          <w:szCs w:val="20"/>
        </w:rPr>
        <w:t>the</w:t>
      </w:r>
      <w:r w:rsidRPr="005B2FE5">
        <w:rPr>
          <w:rFonts w:ascii="Arial" w:eastAsia="Arial" w:hAnsi="Arial"/>
          <w:sz w:val="20"/>
          <w:szCs w:val="20"/>
        </w:rPr>
        <w:t xml:space="preserve"> Isles of Scilly Local Plan 2015-2030.</w:t>
      </w:r>
    </w:p>
    <w:bookmarkEnd w:id="5"/>
    <w:p w14:paraId="3B30ACB9" w14:textId="77777777" w:rsidR="001D6F0B" w:rsidRPr="005B2FE5" w:rsidRDefault="001D6F0B" w:rsidP="001D6F0B">
      <w:pPr>
        <w:ind w:left="567" w:firstLine="0"/>
        <w:rPr>
          <w:rFonts w:ascii="Arial" w:eastAsia="Arial" w:hAnsi="Arial"/>
          <w:sz w:val="20"/>
          <w:szCs w:val="20"/>
        </w:rPr>
      </w:pPr>
    </w:p>
    <w:p w14:paraId="555F0A79" w14:textId="0734545F" w:rsidR="001D6F0B" w:rsidRPr="005B2FE5" w:rsidRDefault="001D6F0B" w:rsidP="001D6F0B">
      <w:pPr>
        <w:pStyle w:val="Committeetemplate"/>
        <w:numPr>
          <w:ilvl w:val="0"/>
          <w:numId w:val="0"/>
        </w:numPr>
        <w:spacing w:line="240" w:lineRule="auto"/>
        <w:ind w:left="567" w:hanging="567"/>
        <w:rPr>
          <w:rFonts w:eastAsia="Calibri"/>
          <w:b/>
          <w:bCs/>
          <w:sz w:val="20"/>
          <w:szCs w:val="20"/>
          <w:lang w:eastAsia="en-GB"/>
        </w:rPr>
      </w:pPr>
      <w:r w:rsidRPr="005B2FE5">
        <w:rPr>
          <w:rFonts w:eastAsia="Calibri"/>
          <w:b/>
          <w:bCs/>
          <w:sz w:val="20"/>
          <w:szCs w:val="20"/>
          <w:lang w:eastAsia="en-GB"/>
        </w:rPr>
        <w:t xml:space="preserve">C4 </w:t>
      </w:r>
      <w:r w:rsidRPr="005B2FE5">
        <w:rPr>
          <w:rFonts w:eastAsia="Calibri"/>
          <w:b/>
          <w:bCs/>
          <w:sz w:val="20"/>
          <w:szCs w:val="20"/>
          <w:lang w:eastAsia="en-GB"/>
        </w:rPr>
        <w:tab/>
        <w:t>Before commencing any planting</w:t>
      </w:r>
      <w:r w:rsidR="002072A0">
        <w:rPr>
          <w:rFonts w:eastAsia="Calibri"/>
          <w:b/>
          <w:bCs/>
          <w:sz w:val="20"/>
          <w:szCs w:val="20"/>
          <w:lang w:eastAsia="en-GB"/>
        </w:rPr>
        <w:t xml:space="preserve"> along the vegetation section of the rock revetment</w:t>
      </w:r>
      <w:r w:rsidRPr="005B2FE5">
        <w:rPr>
          <w:rFonts w:eastAsia="Calibri"/>
          <w:b/>
          <w:bCs/>
          <w:sz w:val="20"/>
          <w:szCs w:val="20"/>
          <w:lang w:eastAsia="en-GB"/>
        </w:rPr>
        <w:t xml:space="preserve">, details of the native plant species and planting schedule, shall be submitted to and approved in writing by the Local Planning Authority. Native </w:t>
      </w:r>
      <w:r w:rsidR="005925EB">
        <w:rPr>
          <w:rFonts w:eastAsia="Calibri"/>
          <w:b/>
          <w:bCs/>
          <w:sz w:val="20"/>
          <w:szCs w:val="20"/>
          <w:lang w:eastAsia="en-GB"/>
        </w:rPr>
        <w:t>plant</w:t>
      </w:r>
      <w:r w:rsidRPr="005B2FE5">
        <w:rPr>
          <w:rFonts w:eastAsia="Calibri"/>
          <w:b/>
          <w:bCs/>
          <w:sz w:val="20"/>
          <w:szCs w:val="20"/>
          <w:lang w:eastAsia="en-GB"/>
        </w:rPr>
        <w:t xml:space="preserve"> species should be used to provid</w:t>
      </w:r>
      <w:r w:rsidR="005925EB">
        <w:rPr>
          <w:rFonts w:eastAsia="Calibri"/>
          <w:b/>
          <w:bCs/>
          <w:sz w:val="20"/>
          <w:szCs w:val="20"/>
          <w:lang w:eastAsia="en-GB"/>
        </w:rPr>
        <w:t>e</w:t>
      </w:r>
      <w:r w:rsidRPr="005B2FE5">
        <w:rPr>
          <w:rFonts w:eastAsia="Calibri"/>
          <w:b/>
          <w:bCs/>
          <w:sz w:val="20"/>
          <w:szCs w:val="20"/>
          <w:lang w:eastAsia="en-GB"/>
        </w:rPr>
        <w:t xml:space="preserve"> valuable habitat</w:t>
      </w:r>
      <w:r w:rsidR="005925EB">
        <w:rPr>
          <w:rFonts w:eastAsia="Calibri"/>
          <w:b/>
          <w:bCs/>
          <w:sz w:val="20"/>
          <w:szCs w:val="20"/>
          <w:lang w:eastAsia="en-GB"/>
        </w:rPr>
        <w:t xml:space="preserve"> and to ensure no biodiversity net loss</w:t>
      </w:r>
      <w:r w:rsidRPr="005B2FE5">
        <w:rPr>
          <w:rFonts w:eastAsia="Calibri"/>
          <w:b/>
          <w:bCs/>
          <w:sz w:val="20"/>
          <w:szCs w:val="20"/>
          <w:lang w:eastAsia="en-GB"/>
        </w:rPr>
        <w:t>. The planting shall be carried out in accordance with the approved details and any plants which, within a period of 5 years of completion of the project, die before successful establishment, shall be replaced with new plants.</w:t>
      </w:r>
    </w:p>
    <w:p w14:paraId="3A21B8EC" w14:textId="77777777" w:rsidR="001D6F0B" w:rsidRPr="005B2FE5" w:rsidRDefault="001D6F0B" w:rsidP="001D6F0B">
      <w:pPr>
        <w:pStyle w:val="Committeetemplate"/>
        <w:numPr>
          <w:ilvl w:val="0"/>
          <w:numId w:val="0"/>
        </w:numPr>
        <w:spacing w:line="240" w:lineRule="auto"/>
        <w:ind w:left="567" w:hanging="567"/>
        <w:rPr>
          <w:sz w:val="20"/>
          <w:szCs w:val="20"/>
          <w:lang w:eastAsia="en-GB"/>
        </w:rPr>
      </w:pPr>
      <w:r w:rsidRPr="005B2FE5">
        <w:rPr>
          <w:rFonts w:eastAsia="Calibri"/>
          <w:b/>
          <w:bCs/>
          <w:sz w:val="20"/>
          <w:szCs w:val="20"/>
          <w:lang w:eastAsia="en-GB"/>
        </w:rPr>
        <w:tab/>
      </w:r>
      <w:r w:rsidRPr="005B2FE5">
        <w:rPr>
          <w:rFonts w:eastAsia="Calibri"/>
          <w:sz w:val="20"/>
          <w:szCs w:val="20"/>
          <w:lang w:eastAsia="en-GB"/>
        </w:rPr>
        <w:t xml:space="preserve">Reason: </w:t>
      </w:r>
      <w:r w:rsidRPr="005B2FE5">
        <w:rPr>
          <w:sz w:val="20"/>
          <w:szCs w:val="20"/>
          <w:lang w:eastAsia="en-GB"/>
        </w:rPr>
        <w:t>To ensure the works safeguard the wealth of biodiversity present on the Isles of Scilly and safeguards existing habitats and features in a bio-secure manner in accordance with Policies OE1 and OE2 of the Isles of Scilly Local Plan (2015-2030).</w:t>
      </w:r>
    </w:p>
    <w:p w14:paraId="3ABFFDF7" w14:textId="77777777" w:rsidR="001D6F0B" w:rsidRPr="005B2FE5" w:rsidRDefault="001D6F0B" w:rsidP="001D6F0B">
      <w:pPr>
        <w:pStyle w:val="Committeetemplate"/>
        <w:numPr>
          <w:ilvl w:val="0"/>
          <w:numId w:val="0"/>
        </w:numPr>
        <w:spacing w:line="240" w:lineRule="auto"/>
        <w:ind w:left="567" w:hanging="567"/>
        <w:rPr>
          <w:rFonts w:eastAsia="Calibri"/>
          <w:sz w:val="20"/>
          <w:szCs w:val="20"/>
          <w:lang w:eastAsia="en-GB"/>
        </w:rPr>
      </w:pPr>
    </w:p>
    <w:bookmarkEnd w:id="2"/>
    <w:p w14:paraId="727ECA77" w14:textId="77777777" w:rsidR="001D6F0B" w:rsidRPr="005B2FE5" w:rsidRDefault="001D6F0B" w:rsidP="001D6F0B">
      <w:pPr>
        <w:pStyle w:val="Committeetemplate"/>
        <w:numPr>
          <w:ilvl w:val="0"/>
          <w:numId w:val="0"/>
        </w:numPr>
        <w:spacing w:line="240" w:lineRule="auto"/>
        <w:ind w:left="567"/>
        <w:rPr>
          <w:sz w:val="20"/>
          <w:szCs w:val="20"/>
        </w:rPr>
      </w:pPr>
      <w:r w:rsidRPr="005B2FE5">
        <w:rPr>
          <w:sz w:val="20"/>
          <w:szCs w:val="20"/>
        </w:rPr>
        <w:tab/>
      </w:r>
    </w:p>
    <w:p w14:paraId="1C31BCDD" w14:textId="77777777" w:rsidR="001D6F0B" w:rsidRPr="005B2FE5" w:rsidRDefault="001D6F0B" w:rsidP="001D6F0B">
      <w:pPr>
        <w:pStyle w:val="Committeetemplate"/>
        <w:numPr>
          <w:ilvl w:val="0"/>
          <w:numId w:val="0"/>
        </w:numPr>
        <w:spacing w:line="240" w:lineRule="auto"/>
        <w:rPr>
          <w:b/>
          <w:bCs/>
          <w:sz w:val="20"/>
          <w:szCs w:val="20"/>
        </w:rPr>
      </w:pPr>
      <w:r w:rsidRPr="005B2FE5">
        <w:rPr>
          <w:b/>
          <w:bCs/>
          <w:sz w:val="20"/>
          <w:szCs w:val="20"/>
        </w:rPr>
        <w:t>Informatives:</w:t>
      </w:r>
    </w:p>
    <w:p w14:paraId="3B2739B6" w14:textId="77777777" w:rsidR="001D6F0B" w:rsidRPr="005B2FE5" w:rsidRDefault="001D6F0B" w:rsidP="001D6F0B">
      <w:pPr>
        <w:pStyle w:val="Committeetemplate"/>
        <w:numPr>
          <w:ilvl w:val="0"/>
          <w:numId w:val="37"/>
        </w:numPr>
        <w:spacing w:line="240" w:lineRule="auto"/>
        <w:ind w:left="567" w:hanging="567"/>
        <w:rPr>
          <w:sz w:val="20"/>
          <w:szCs w:val="20"/>
        </w:rPr>
      </w:pPr>
      <w:r w:rsidRPr="005B2FE5">
        <w:rPr>
          <w:sz w:val="20"/>
          <w:szCs w:val="20"/>
        </w:rPr>
        <w:t>In dealing with this application, the Council of the Isles of Scilly has actively sought to work with the applicants in a positive and proactive manner, in accordance with paragraph 38 the National Planning Policy Framework 2019.</w:t>
      </w:r>
    </w:p>
    <w:p w14:paraId="6ADDC345" w14:textId="77777777" w:rsidR="001D6F0B" w:rsidRPr="005B2FE5" w:rsidRDefault="001D6F0B" w:rsidP="001D6F0B">
      <w:pPr>
        <w:pStyle w:val="Committeetemplate"/>
        <w:numPr>
          <w:ilvl w:val="0"/>
          <w:numId w:val="37"/>
        </w:numPr>
        <w:spacing w:line="240" w:lineRule="auto"/>
        <w:ind w:left="567" w:hanging="567"/>
        <w:rPr>
          <w:sz w:val="20"/>
          <w:szCs w:val="20"/>
        </w:rPr>
      </w:pPr>
      <w:r w:rsidRPr="005B2FE5">
        <w:rPr>
          <w:sz w:val="20"/>
          <w:szCs w:val="20"/>
        </w:rPr>
        <w:t xml:space="preserve">Please note that from the 6th April 2008 a fee is now payable for the discharge of any conditions where details are required to be submitted pursuant to that condition. Details of the exact amount and the procedure to be followed can be found on the Council's website. </w:t>
      </w:r>
    </w:p>
    <w:p w14:paraId="58992B32" w14:textId="77777777" w:rsidR="001D6F0B" w:rsidRPr="005B2FE5" w:rsidRDefault="001D6F0B" w:rsidP="001D6F0B">
      <w:pPr>
        <w:pStyle w:val="Committeetemplate"/>
        <w:numPr>
          <w:ilvl w:val="0"/>
          <w:numId w:val="37"/>
        </w:numPr>
        <w:spacing w:line="240" w:lineRule="auto"/>
        <w:ind w:left="567" w:hanging="567"/>
        <w:rPr>
          <w:sz w:val="20"/>
          <w:szCs w:val="20"/>
        </w:rPr>
      </w:pPr>
      <w:r w:rsidRPr="005B2FE5">
        <w:rPr>
          <w:sz w:val="20"/>
          <w:szCs w:val="20"/>
        </w:rPr>
        <w:t>It should be noted that some of the conditions attached to this consent are required to be complied with prior to the commencement of the development hereby approved, if those conditions are not fully adhered to, then the consent cannot lawfully be implemented, therefore a new application will be requested and consideration will be given to the expedience of enforcement action.</w:t>
      </w:r>
    </w:p>
    <w:p w14:paraId="07E3C352" w14:textId="77777777" w:rsidR="00E60399" w:rsidRPr="008C3B45" w:rsidRDefault="00E60399" w:rsidP="00E60399">
      <w:pPr>
        <w:pStyle w:val="Committeetemplate"/>
        <w:numPr>
          <w:ilvl w:val="0"/>
          <w:numId w:val="0"/>
        </w:numPr>
        <w:spacing w:line="276" w:lineRule="auto"/>
        <w:ind w:left="567"/>
      </w:pPr>
    </w:p>
    <w:p w14:paraId="47C8D77D" w14:textId="77777777" w:rsidR="00E60399" w:rsidRPr="008C3B45" w:rsidRDefault="00E60399" w:rsidP="00E60399">
      <w:pPr>
        <w:pStyle w:val="Committeetemplate"/>
        <w:numPr>
          <w:ilvl w:val="0"/>
          <w:numId w:val="0"/>
        </w:numPr>
        <w:spacing w:line="276" w:lineRule="auto"/>
        <w:ind w:left="567"/>
      </w:pPr>
      <w:r w:rsidRPr="008C3B45">
        <w:tab/>
      </w:r>
    </w:p>
    <w:p w14:paraId="7EFFA0CF" w14:textId="77777777" w:rsidR="00E60399" w:rsidRPr="008C3B45" w:rsidRDefault="00E60399" w:rsidP="00E60399">
      <w:pPr>
        <w:pStyle w:val="Committeetemplate"/>
        <w:numPr>
          <w:ilvl w:val="0"/>
          <w:numId w:val="0"/>
        </w:numPr>
        <w:spacing w:line="276" w:lineRule="auto"/>
        <w:ind w:left="567"/>
      </w:pPr>
    </w:p>
    <w:p w14:paraId="583FDA02" w14:textId="77777777" w:rsidR="00341AB3" w:rsidRPr="008C3B45" w:rsidRDefault="00341AB3" w:rsidP="00E60399">
      <w:pPr>
        <w:pStyle w:val="Committeetemplate"/>
        <w:numPr>
          <w:ilvl w:val="0"/>
          <w:numId w:val="0"/>
        </w:numPr>
        <w:spacing w:line="276" w:lineRule="auto"/>
        <w:ind w:left="567"/>
      </w:pPr>
    </w:p>
    <w:sectPr w:rsidR="00341AB3" w:rsidRPr="008C3B45" w:rsidSect="001A50E7">
      <w:headerReference w:type="default" r:id="rId16"/>
      <w:footerReference w:type="default" r:id="rId17"/>
      <w:headerReference w:type="first" r:id="rId18"/>
      <w:pgSz w:w="11909" w:h="16834" w:code="9"/>
      <w:pgMar w:top="1701" w:right="1701" w:bottom="1701" w:left="1134"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B5A349" w14:textId="77777777" w:rsidR="001D6F0B" w:rsidRDefault="001D6F0B" w:rsidP="00CA6FEE">
      <w:r>
        <w:separator/>
      </w:r>
    </w:p>
  </w:endnote>
  <w:endnote w:type="continuationSeparator" w:id="0">
    <w:p w14:paraId="5A80CEA7" w14:textId="77777777" w:rsidR="001D6F0B" w:rsidRDefault="001D6F0B" w:rsidP="00CA6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sz w:val="20"/>
        <w:szCs w:val="20"/>
      </w:rPr>
      <w:id w:val="-844712542"/>
      <w:docPartObj>
        <w:docPartGallery w:val="Page Numbers (Bottom of Page)"/>
        <w:docPartUnique/>
      </w:docPartObj>
    </w:sdtPr>
    <w:sdtEndPr/>
    <w:sdtContent>
      <w:sdt>
        <w:sdtPr>
          <w:rPr>
            <w:rFonts w:ascii="Arial" w:hAnsi="Arial"/>
            <w:sz w:val="20"/>
            <w:szCs w:val="20"/>
          </w:rPr>
          <w:id w:val="2115474640"/>
          <w:docPartObj>
            <w:docPartGallery w:val="Page Numbers (Top of Page)"/>
            <w:docPartUnique/>
          </w:docPartObj>
        </w:sdtPr>
        <w:sdtEndPr/>
        <w:sdtContent>
          <w:p w14:paraId="05DBDB5A" w14:textId="77777777" w:rsidR="001D6F0B" w:rsidRPr="008F5FED" w:rsidRDefault="001D6F0B">
            <w:pPr>
              <w:pStyle w:val="Footer"/>
              <w:jc w:val="right"/>
              <w:rPr>
                <w:rFonts w:ascii="Arial" w:hAnsi="Arial"/>
                <w:sz w:val="20"/>
                <w:szCs w:val="20"/>
              </w:rPr>
            </w:pPr>
            <w:r w:rsidRPr="008F5FED">
              <w:rPr>
                <w:rFonts w:ascii="Arial" w:hAnsi="Arial"/>
                <w:bCs/>
                <w:sz w:val="20"/>
                <w:szCs w:val="20"/>
              </w:rPr>
              <w:fldChar w:fldCharType="begin"/>
            </w:r>
            <w:r w:rsidRPr="008F5FED">
              <w:rPr>
                <w:rFonts w:ascii="Arial" w:hAnsi="Arial"/>
                <w:bCs/>
                <w:sz w:val="20"/>
                <w:szCs w:val="20"/>
              </w:rPr>
              <w:instrText xml:space="preserve"> PAGE </w:instrText>
            </w:r>
            <w:r w:rsidRPr="008F5FED">
              <w:rPr>
                <w:rFonts w:ascii="Arial" w:hAnsi="Arial"/>
                <w:bCs/>
                <w:sz w:val="20"/>
                <w:szCs w:val="20"/>
              </w:rPr>
              <w:fldChar w:fldCharType="separate"/>
            </w:r>
            <w:r>
              <w:rPr>
                <w:rFonts w:ascii="Arial" w:hAnsi="Arial"/>
                <w:bCs/>
                <w:noProof/>
                <w:sz w:val="20"/>
                <w:szCs w:val="20"/>
              </w:rPr>
              <w:t>1</w:t>
            </w:r>
            <w:r w:rsidRPr="008F5FED">
              <w:rPr>
                <w:rFonts w:ascii="Arial" w:hAnsi="Arial"/>
                <w:bCs/>
                <w:sz w:val="20"/>
                <w:szCs w:val="20"/>
              </w:rPr>
              <w:fldChar w:fldCharType="end"/>
            </w:r>
            <w:r w:rsidRPr="008F5FED">
              <w:rPr>
                <w:rFonts w:ascii="Arial" w:hAnsi="Arial"/>
                <w:sz w:val="20"/>
                <w:szCs w:val="20"/>
              </w:rPr>
              <w:t>/</w:t>
            </w:r>
            <w:r w:rsidRPr="008F5FED">
              <w:rPr>
                <w:rFonts w:ascii="Arial" w:hAnsi="Arial"/>
                <w:bCs/>
                <w:sz w:val="20"/>
                <w:szCs w:val="20"/>
              </w:rPr>
              <w:fldChar w:fldCharType="begin"/>
            </w:r>
            <w:r w:rsidRPr="008F5FED">
              <w:rPr>
                <w:rFonts w:ascii="Arial" w:hAnsi="Arial"/>
                <w:bCs/>
                <w:sz w:val="20"/>
                <w:szCs w:val="20"/>
              </w:rPr>
              <w:instrText xml:space="preserve"> NUMPAGES  </w:instrText>
            </w:r>
            <w:r w:rsidRPr="008F5FED">
              <w:rPr>
                <w:rFonts w:ascii="Arial" w:hAnsi="Arial"/>
                <w:bCs/>
                <w:sz w:val="20"/>
                <w:szCs w:val="20"/>
              </w:rPr>
              <w:fldChar w:fldCharType="separate"/>
            </w:r>
            <w:r>
              <w:rPr>
                <w:rFonts w:ascii="Arial" w:hAnsi="Arial"/>
                <w:bCs/>
                <w:noProof/>
                <w:sz w:val="20"/>
                <w:szCs w:val="20"/>
              </w:rPr>
              <w:t>3</w:t>
            </w:r>
            <w:r w:rsidRPr="008F5FED">
              <w:rPr>
                <w:rFonts w:ascii="Arial" w:hAnsi="Arial"/>
                <w:bCs/>
                <w:sz w:val="20"/>
                <w:szCs w:val="20"/>
              </w:rPr>
              <w:fldChar w:fldCharType="end"/>
            </w:r>
          </w:p>
        </w:sdtContent>
      </w:sdt>
    </w:sdtContent>
  </w:sdt>
  <w:p w14:paraId="5E7AB581" w14:textId="77777777" w:rsidR="001D6F0B" w:rsidRPr="008A353E" w:rsidRDefault="001D6F0B" w:rsidP="008A353E">
    <w:pPr>
      <w:pStyle w:val="Footer"/>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A9529F" w14:textId="77777777" w:rsidR="001D6F0B" w:rsidRDefault="001D6F0B" w:rsidP="00CA6FEE">
      <w:r>
        <w:separator/>
      </w:r>
    </w:p>
  </w:footnote>
  <w:footnote w:type="continuationSeparator" w:id="0">
    <w:p w14:paraId="5D6060EE" w14:textId="77777777" w:rsidR="001D6F0B" w:rsidRDefault="001D6F0B" w:rsidP="00CA6F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320132" w14:textId="77777777" w:rsidR="001D6F0B" w:rsidRPr="00241CD3" w:rsidRDefault="001D6F0B" w:rsidP="003F5D8B">
    <w:pPr>
      <w:pStyle w:val="Header"/>
      <w:tabs>
        <w:tab w:val="left" w:pos="8647"/>
      </w:tabs>
      <w:rPr>
        <w:rFonts w:ascii="Arial" w:hAnsi="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214"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1"/>
      <w:gridCol w:w="3113"/>
    </w:tblGrid>
    <w:tr w:rsidR="001D6F0B" w:rsidRPr="00241CD3" w14:paraId="69E88F04" w14:textId="77777777" w:rsidTr="009076A0">
      <w:tc>
        <w:tcPr>
          <w:tcW w:w="6101" w:type="dxa"/>
        </w:tcPr>
        <w:p w14:paraId="0FB0C687" w14:textId="77777777" w:rsidR="001D6F0B" w:rsidRPr="00BC6C71" w:rsidRDefault="001D6F0B" w:rsidP="00D72A2B">
          <w:pPr>
            <w:pStyle w:val="Header"/>
            <w:tabs>
              <w:tab w:val="left" w:pos="8647"/>
            </w:tabs>
            <w:ind w:left="39" w:firstLine="0"/>
            <w:rPr>
              <w:rFonts w:ascii="Arial" w:hAnsi="Arial"/>
              <w:b/>
              <w:sz w:val="22"/>
              <w:szCs w:val="22"/>
            </w:rPr>
          </w:pPr>
          <w:r w:rsidRPr="00BC6C71">
            <w:rPr>
              <w:rFonts w:ascii="Arial" w:hAnsi="Arial"/>
              <w:b/>
              <w:sz w:val="22"/>
              <w:szCs w:val="22"/>
            </w:rPr>
            <w:t>Council of the Isles of Scilly</w:t>
          </w:r>
          <w:r>
            <w:rPr>
              <w:rFonts w:ascii="Arial" w:hAnsi="Arial"/>
              <w:b/>
              <w:sz w:val="22"/>
              <w:szCs w:val="22"/>
            </w:rPr>
            <w:t xml:space="preserve"> – Committee Reports</w:t>
          </w:r>
        </w:p>
      </w:tc>
      <w:tc>
        <w:tcPr>
          <w:tcW w:w="3113" w:type="dxa"/>
        </w:tcPr>
        <w:p w14:paraId="0BBCED4E" w14:textId="77777777" w:rsidR="001D6F0B" w:rsidRPr="00241CD3" w:rsidRDefault="001D6F0B" w:rsidP="00D72A2B">
          <w:pPr>
            <w:pStyle w:val="Header"/>
            <w:tabs>
              <w:tab w:val="left" w:pos="8647"/>
            </w:tabs>
            <w:ind w:left="0" w:firstLine="0"/>
            <w:rPr>
              <w:rFonts w:ascii="Arial" w:hAnsi="Arial"/>
              <w:sz w:val="20"/>
              <w:szCs w:val="20"/>
            </w:rPr>
          </w:pPr>
        </w:p>
      </w:tc>
    </w:tr>
  </w:tbl>
  <w:p w14:paraId="19C389D0" w14:textId="77777777" w:rsidR="001D6F0B" w:rsidRPr="00BC6C71" w:rsidRDefault="001D6F0B" w:rsidP="00D72A2B">
    <w:pPr>
      <w:ind w:left="0" w:firstLine="0"/>
      <w:rPr>
        <w:sz w:val="20"/>
        <w:szCs w:val="20"/>
      </w:rPr>
    </w:pPr>
  </w:p>
  <w:p w14:paraId="7D8A9F9D" w14:textId="77777777" w:rsidR="001D6F0B" w:rsidRDefault="001D6F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214B5"/>
    <w:multiLevelType w:val="hybridMultilevel"/>
    <w:tmpl w:val="582E56FC"/>
    <w:lvl w:ilvl="0" w:tplc="55B0CF68">
      <w:start w:val="1"/>
      <w:numFmt w:val="decimal"/>
      <w:pStyle w:val="Committeetemplate"/>
      <w:lvlText w:val="%1."/>
      <w:lvlJc w:val="left"/>
      <w:pPr>
        <w:ind w:left="360" w:hanging="360"/>
      </w:pPr>
      <w:rPr>
        <w:b w:val="0"/>
        <w:bCs/>
        <w:sz w:val="20"/>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7F27CB0"/>
    <w:multiLevelType w:val="multilevel"/>
    <w:tmpl w:val="A2A8B5C6"/>
    <w:lvl w:ilvl="0">
      <w:start w:val="1"/>
      <w:numFmt w:val="decimal"/>
      <w:lvlText w:val="%1"/>
      <w:lvlJc w:val="left"/>
      <w:pPr>
        <w:tabs>
          <w:tab w:val="num" w:pos="547"/>
        </w:tabs>
        <w:ind w:left="547" w:hanging="360"/>
      </w:pPr>
      <w:rPr>
        <w:rFonts w:hint="default"/>
      </w:rPr>
    </w:lvl>
    <w:lvl w:ilvl="1">
      <w:start w:val="1"/>
      <w:numFmt w:val="decimal"/>
      <w:lvlText w:val="%1.%2"/>
      <w:lvlJc w:val="left"/>
      <w:pPr>
        <w:tabs>
          <w:tab w:val="num" w:pos="907"/>
        </w:tabs>
        <w:ind w:left="907" w:hanging="720"/>
      </w:pPr>
      <w:rPr>
        <w:rFonts w:hint="default"/>
      </w:rPr>
    </w:lvl>
    <w:lvl w:ilvl="2">
      <w:start w:val="1"/>
      <w:numFmt w:val="decimal"/>
      <w:lvlText w:val="%1.%2.%3"/>
      <w:lvlJc w:val="left"/>
      <w:pPr>
        <w:tabs>
          <w:tab w:val="num" w:pos="907"/>
        </w:tabs>
        <w:ind w:left="907" w:hanging="720"/>
      </w:pPr>
      <w:rPr>
        <w:rFonts w:hint="default"/>
      </w:rPr>
    </w:lvl>
    <w:lvl w:ilvl="3">
      <w:start w:val="1"/>
      <w:numFmt w:val="decimal"/>
      <w:lvlText w:val="%1.%2.%3.%4"/>
      <w:lvlJc w:val="left"/>
      <w:pPr>
        <w:tabs>
          <w:tab w:val="num" w:pos="1267"/>
        </w:tabs>
        <w:ind w:left="1267" w:hanging="1080"/>
      </w:pPr>
      <w:rPr>
        <w:rFonts w:hint="default"/>
      </w:rPr>
    </w:lvl>
    <w:lvl w:ilvl="4">
      <w:start w:val="1"/>
      <w:numFmt w:val="decimal"/>
      <w:lvlText w:val="%1.%2.%3.%4.%5"/>
      <w:lvlJc w:val="left"/>
      <w:pPr>
        <w:tabs>
          <w:tab w:val="num" w:pos="1627"/>
        </w:tabs>
        <w:ind w:left="1627" w:hanging="1440"/>
      </w:pPr>
      <w:rPr>
        <w:rFonts w:hint="default"/>
      </w:rPr>
    </w:lvl>
    <w:lvl w:ilvl="5">
      <w:start w:val="1"/>
      <w:numFmt w:val="decimal"/>
      <w:lvlText w:val="%1.%2.%3.%4.%5.%6"/>
      <w:lvlJc w:val="left"/>
      <w:pPr>
        <w:tabs>
          <w:tab w:val="num" w:pos="1627"/>
        </w:tabs>
        <w:ind w:left="1627" w:hanging="1440"/>
      </w:pPr>
      <w:rPr>
        <w:rFonts w:hint="default"/>
      </w:rPr>
    </w:lvl>
    <w:lvl w:ilvl="6">
      <w:start w:val="1"/>
      <w:numFmt w:val="decimal"/>
      <w:lvlText w:val="%1.%2.%3.%4.%5.%6.%7"/>
      <w:lvlJc w:val="left"/>
      <w:pPr>
        <w:tabs>
          <w:tab w:val="num" w:pos="1987"/>
        </w:tabs>
        <w:ind w:left="1987" w:hanging="1800"/>
      </w:pPr>
      <w:rPr>
        <w:rFonts w:hint="default"/>
      </w:rPr>
    </w:lvl>
    <w:lvl w:ilvl="7">
      <w:start w:val="1"/>
      <w:numFmt w:val="decimal"/>
      <w:lvlText w:val="%1.%2.%3.%4.%5.%6.%7.%8"/>
      <w:lvlJc w:val="left"/>
      <w:pPr>
        <w:tabs>
          <w:tab w:val="num" w:pos="2347"/>
        </w:tabs>
        <w:ind w:left="2347" w:hanging="2160"/>
      </w:pPr>
      <w:rPr>
        <w:rFonts w:hint="default"/>
      </w:rPr>
    </w:lvl>
    <w:lvl w:ilvl="8">
      <w:start w:val="1"/>
      <w:numFmt w:val="decimal"/>
      <w:lvlText w:val="%1.%2.%3.%4.%5.%6.%7.%8.%9"/>
      <w:lvlJc w:val="left"/>
      <w:pPr>
        <w:tabs>
          <w:tab w:val="num" w:pos="2707"/>
        </w:tabs>
        <w:ind w:left="2707" w:hanging="2520"/>
      </w:pPr>
      <w:rPr>
        <w:rFonts w:hint="default"/>
      </w:rPr>
    </w:lvl>
  </w:abstractNum>
  <w:abstractNum w:abstractNumId="2" w15:restartNumberingAfterBreak="0">
    <w:nsid w:val="085F52B3"/>
    <w:multiLevelType w:val="multilevel"/>
    <w:tmpl w:val="A2A8B5C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 w15:restartNumberingAfterBreak="0">
    <w:nsid w:val="09023A9B"/>
    <w:multiLevelType w:val="multilevel"/>
    <w:tmpl w:val="374E23C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b/>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D8F5DF6"/>
    <w:multiLevelType w:val="multilevel"/>
    <w:tmpl w:val="D12AD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6810A6"/>
    <w:multiLevelType w:val="hybridMultilevel"/>
    <w:tmpl w:val="A78043C6"/>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6" w15:restartNumberingAfterBreak="0">
    <w:nsid w:val="23CE4B98"/>
    <w:multiLevelType w:val="multilevel"/>
    <w:tmpl w:val="84E4BD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405115F"/>
    <w:multiLevelType w:val="multilevel"/>
    <w:tmpl w:val="E7AC30EA"/>
    <w:lvl w:ilvl="0">
      <w:start w:val="1"/>
      <w:numFmt w:val="decimal"/>
      <w:lvlText w:val="%1.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52A0868"/>
    <w:multiLevelType w:val="hybridMultilevel"/>
    <w:tmpl w:val="0B90037C"/>
    <w:lvl w:ilvl="0" w:tplc="990C0802">
      <w:start w:val="1"/>
      <w:numFmt w:val="decimal"/>
      <w:lvlText w:val="%1."/>
      <w:lvlJc w:val="left"/>
      <w:pPr>
        <w:ind w:left="720" w:hanging="360"/>
      </w:pPr>
      <w:rPr>
        <w:rFonts w:ascii="Arial" w:hAnsi="Arial" w:cs="Arial" w:hint="default"/>
        <w:b/>
        <w:bCs/>
        <w:i w:val="0"/>
        <w:i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767589"/>
    <w:multiLevelType w:val="multilevel"/>
    <w:tmpl w:val="E7AC30EA"/>
    <w:lvl w:ilvl="0">
      <w:start w:val="1"/>
      <w:numFmt w:val="decimal"/>
      <w:lvlText w:val="%1.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D8C7DC4"/>
    <w:multiLevelType w:val="hybridMultilevel"/>
    <w:tmpl w:val="D408D434"/>
    <w:lvl w:ilvl="0" w:tplc="0EDC5DA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0770731"/>
    <w:multiLevelType w:val="hybridMultilevel"/>
    <w:tmpl w:val="50FC40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0B11F0"/>
    <w:multiLevelType w:val="hybridMultilevel"/>
    <w:tmpl w:val="62D642BC"/>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3" w15:restartNumberingAfterBreak="0">
    <w:nsid w:val="36784848"/>
    <w:multiLevelType w:val="hybridMultilevel"/>
    <w:tmpl w:val="81843862"/>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89E4865"/>
    <w:multiLevelType w:val="multilevel"/>
    <w:tmpl w:val="374E23C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b/>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C567B53"/>
    <w:multiLevelType w:val="multilevel"/>
    <w:tmpl w:val="F1D87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1E345A"/>
    <w:multiLevelType w:val="hybridMultilevel"/>
    <w:tmpl w:val="347CEFEC"/>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7" w15:restartNumberingAfterBreak="0">
    <w:nsid w:val="4B647441"/>
    <w:multiLevelType w:val="multilevel"/>
    <w:tmpl w:val="C6BCCCA8"/>
    <w:lvl w:ilvl="0">
      <w:start w:val="3"/>
      <w:numFmt w:val="decimal"/>
      <w:lvlText w:val="%1."/>
      <w:lvlJc w:val="left"/>
      <w:pPr>
        <w:ind w:left="720" w:hanging="360"/>
      </w:pPr>
      <w:rPr>
        <w:rFonts w:hint="default"/>
      </w:rPr>
    </w:lvl>
    <w:lvl w:ilvl="1">
      <w:start w:val="1"/>
      <w:numFmt w:val="decimal"/>
      <w:isLgl/>
      <w:lvlText w:val="%1.%2"/>
      <w:lvlJc w:val="left"/>
      <w:pPr>
        <w:ind w:left="72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ED50849"/>
    <w:multiLevelType w:val="multilevel"/>
    <w:tmpl w:val="A2A8B5C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9" w15:restartNumberingAfterBreak="0">
    <w:nsid w:val="50145DF3"/>
    <w:multiLevelType w:val="hybridMultilevel"/>
    <w:tmpl w:val="EB1AC3A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7C72AE9"/>
    <w:multiLevelType w:val="multilevel"/>
    <w:tmpl w:val="A2A8B5C6"/>
    <w:lvl w:ilvl="0">
      <w:start w:val="1"/>
      <w:numFmt w:val="decimal"/>
      <w:lvlText w:val="%1"/>
      <w:lvlJc w:val="left"/>
      <w:pPr>
        <w:tabs>
          <w:tab w:val="num" w:pos="547"/>
        </w:tabs>
        <w:ind w:left="547" w:hanging="360"/>
      </w:pPr>
      <w:rPr>
        <w:rFonts w:hint="default"/>
      </w:rPr>
    </w:lvl>
    <w:lvl w:ilvl="1">
      <w:start w:val="1"/>
      <w:numFmt w:val="decimal"/>
      <w:lvlText w:val="%1.%2"/>
      <w:lvlJc w:val="left"/>
      <w:pPr>
        <w:tabs>
          <w:tab w:val="num" w:pos="907"/>
        </w:tabs>
        <w:ind w:left="907" w:hanging="720"/>
      </w:pPr>
      <w:rPr>
        <w:rFonts w:hint="default"/>
      </w:rPr>
    </w:lvl>
    <w:lvl w:ilvl="2">
      <w:start w:val="1"/>
      <w:numFmt w:val="decimal"/>
      <w:lvlText w:val="%1.%2.%3"/>
      <w:lvlJc w:val="left"/>
      <w:pPr>
        <w:tabs>
          <w:tab w:val="num" w:pos="907"/>
        </w:tabs>
        <w:ind w:left="907" w:hanging="720"/>
      </w:pPr>
      <w:rPr>
        <w:rFonts w:hint="default"/>
      </w:rPr>
    </w:lvl>
    <w:lvl w:ilvl="3">
      <w:start w:val="1"/>
      <w:numFmt w:val="decimal"/>
      <w:lvlText w:val="%1.%2.%3.%4"/>
      <w:lvlJc w:val="left"/>
      <w:pPr>
        <w:tabs>
          <w:tab w:val="num" w:pos="1267"/>
        </w:tabs>
        <w:ind w:left="1267" w:hanging="1080"/>
      </w:pPr>
      <w:rPr>
        <w:rFonts w:hint="default"/>
      </w:rPr>
    </w:lvl>
    <w:lvl w:ilvl="4">
      <w:start w:val="1"/>
      <w:numFmt w:val="decimal"/>
      <w:lvlText w:val="%1.%2.%3.%4.%5"/>
      <w:lvlJc w:val="left"/>
      <w:pPr>
        <w:tabs>
          <w:tab w:val="num" w:pos="1627"/>
        </w:tabs>
        <w:ind w:left="1627" w:hanging="1440"/>
      </w:pPr>
      <w:rPr>
        <w:rFonts w:hint="default"/>
      </w:rPr>
    </w:lvl>
    <w:lvl w:ilvl="5">
      <w:start w:val="1"/>
      <w:numFmt w:val="decimal"/>
      <w:lvlText w:val="%1.%2.%3.%4.%5.%6"/>
      <w:lvlJc w:val="left"/>
      <w:pPr>
        <w:tabs>
          <w:tab w:val="num" w:pos="1627"/>
        </w:tabs>
        <w:ind w:left="1627" w:hanging="1440"/>
      </w:pPr>
      <w:rPr>
        <w:rFonts w:hint="default"/>
      </w:rPr>
    </w:lvl>
    <w:lvl w:ilvl="6">
      <w:start w:val="1"/>
      <w:numFmt w:val="decimal"/>
      <w:lvlText w:val="%1.%2.%3.%4.%5.%6.%7"/>
      <w:lvlJc w:val="left"/>
      <w:pPr>
        <w:tabs>
          <w:tab w:val="num" w:pos="1987"/>
        </w:tabs>
        <w:ind w:left="1987" w:hanging="1800"/>
      </w:pPr>
      <w:rPr>
        <w:rFonts w:hint="default"/>
      </w:rPr>
    </w:lvl>
    <w:lvl w:ilvl="7">
      <w:start w:val="1"/>
      <w:numFmt w:val="decimal"/>
      <w:lvlText w:val="%1.%2.%3.%4.%5.%6.%7.%8"/>
      <w:lvlJc w:val="left"/>
      <w:pPr>
        <w:tabs>
          <w:tab w:val="num" w:pos="2347"/>
        </w:tabs>
        <w:ind w:left="2347" w:hanging="2160"/>
      </w:pPr>
      <w:rPr>
        <w:rFonts w:hint="default"/>
      </w:rPr>
    </w:lvl>
    <w:lvl w:ilvl="8">
      <w:start w:val="1"/>
      <w:numFmt w:val="decimal"/>
      <w:lvlText w:val="%1.%2.%3.%4.%5.%6.%7.%8.%9"/>
      <w:lvlJc w:val="left"/>
      <w:pPr>
        <w:tabs>
          <w:tab w:val="num" w:pos="2707"/>
        </w:tabs>
        <w:ind w:left="2707" w:hanging="2520"/>
      </w:pPr>
      <w:rPr>
        <w:rFonts w:hint="default"/>
      </w:rPr>
    </w:lvl>
  </w:abstractNum>
  <w:abstractNum w:abstractNumId="21" w15:restartNumberingAfterBreak="0">
    <w:nsid w:val="5BBE5730"/>
    <w:multiLevelType w:val="hybridMultilevel"/>
    <w:tmpl w:val="ADA872DC"/>
    <w:lvl w:ilvl="0" w:tplc="F2123B5A">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8736387"/>
    <w:multiLevelType w:val="multilevel"/>
    <w:tmpl w:val="033A01A6"/>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AF20900"/>
    <w:multiLevelType w:val="hybridMultilevel"/>
    <w:tmpl w:val="5B6EF540"/>
    <w:lvl w:ilvl="0" w:tplc="0809000F">
      <w:start w:val="1"/>
      <w:numFmt w:val="decimal"/>
      <w:lvlText w:val="%1."/>
      <w:lvlJc w:val="left"/>
      <w:pPr>
        <w:ind w:left="748" w:hanging="360"/>
      </w:pPr>
    </w:lvl>
    <w:lvl w:ilvl="1" w:tplc="08090019" w:tentative="1">
      <w:start w:val="1"/>
      <w:numFmt w:val="lowerLetter"/>
      <w:lvlText w:val="%2."/>
      <w:lvlJc w:val="left"/>
      <w:pPr>
        <w:ind w:left="1468" w:hanging="360"/>
      </w:pPr>
    </w:lvl>
    <w:lvl w:ilvl="2" w:tplc="0809001B" w:tentative="1">
      <w:start w:val="1"/>
      <w:numFmt w:val="lowerRoman"/>
      <w:lvlText w:val="%3."/>
      <w:lvlJc w:val="right"/>
      <w:pPr>
        <w:ind w:left="2188" w:hanging="180"/>
      </w:pPr>
    </w:lvl>
    <w:lvl w:ilvl="3" w:tplc="0809000F" w:tentative="1">
      <w:start w:val="1"/>
      <w:numFmt w:val="decimal"/>
      <w:lvlText w:val="%4."/>
      <w:lvlJc w:val="left"/>
      <w:pPr>
        <w:ind w:left="2908" w:hanging="360"/>
      </w:pPr>
    </w:lvl>
    <w:lvl w:ilvl="4" w:tplc="08090019" w:tentative="1">
      <w:start w:val="1"/>
      <w:numFmt w:val="lowerLetter"/>
      <w:lvlText w:val="%5."/>
      <w:lvlJc w:val="left"/>
      <w:pPr>
        <w:ind w:left="3628" w:hanging="360"/>
      </w:pPr>
    </w:lvl>
    <w:lvl w:ilvl="5" w:tplc="0809001B" w:tentative="1">
      <w:start w:val="1"/>
      <w:numFmt w:val="lowerRoman"/>
      <w:lvlText w:val="%6."/>
      <w:lvlJc w:val="right"/>
      <w:pPr>
        <w:ind w:left="4348" w:hanging="180"/>
      </w:pPr>
    </w:lvl>
    <w:lvl w:ilvl="6" w:tplc="0809000F" w:tentative="1">
      <w:start w:val="1"/>
      <w:numFmt w:val="decimal"/>
      <w:lvlText w:val="%7."/>
      <w:lvlJc w:val="left"/>
      <w:pPr>
        <w:ind w:left="5068" w:hanging="360"/>
      </w:pPr>
    </w:lvl>
    <w:lvl w:ilvl="7" w:tplc="08090019" w:tentative="1">
      <w:start w:val="1"/>
      <w:numFmt w:val="lowerLetter"/>
      <w:lvlText w:val="%8."/>
      <w:lvlJc w:val="left"/>
      <w:pPr>
        <w:ind w:left="5788" w:hanging="360"/>
      </w:pPr>
    </w:lvl>
    <w:lvl w:ilvl="8" w:tplc="0809001B" w:tentative="1">
      <w:start w:val="1"/>
      <w:numFmt w:val="lowerRoman"/>
      <w:lvlText w:val="%9."/>
      <w:lvlJc w:val="right"/>
      <w:pPr>
        <w:ind w:left="6508" w:hanging="180"/>
      </w:pPr>
    </w:lvl>
  </w:abstractNum>
  <w:abstractNum w:abstractNumId="24" w15:restartNumberingAfterBreak="0">
    <w:nsid w:val="6DCA25C8"/>
    <w:multiLevelType w:val="hybridMultilevel"/>
    <w:tmpl w:val="5E5C7080"/>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704559F2"/>
    <w:multiLevelType w:val="multilevel"/>
    <w:tmpl w:val="92F2E5C4"/>
    <w:lvl w:ilvl="0">
      <w:start w:val="1"/>
      <w:numFmt w:val="decimal"/>
      <w:lvlText w:val="%1."/>
      <w:lvlJc w:val="left"/>
      <w:pPr>
        <w:ind w:left="720" w:hanging="360"/>
      </w:pPr>
      <w:rPr>
        <w:rFonts w:hint="default"/>
      </w:rPr>
    </w:lvl>
    <w:lvl w:ilvl="1">
      <w:start w:val="1"/>
      <w:numFmt w:val="decimal"/>
      <w:lvlText w:val="%2."/>
      <w:lvlJc w:val="left"/>
      <w:pPr>
        <w:ind w:left="720" w:hanging="720"/>
      </w:pPr>
      <w:rPr>
        <w:rFonts w:hint="default"/>
        <w:b w:val="0"/>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57A2446"/>
    <w:multiLevelType w:val="multilevel"/>
    <w:tmpl w:val="F5127C06"/>
    <w:lvl w:ilvl="0">
      <w:start w:val="2"/>
      <w:numFmt w:val="decimal"/>
      <w:lvlText w:val="%1."/>
      <w:lvlJc w:val="left"/>
      <w:pPr>
        <w:ind w:left="720" w:hanging="360"/>
      </w:pPr>
      <w:rPr>
        <w:rFonts w:hint="default"/>
      </w:rPr>
    </w:lvl>
    <w:lvl w:ilvl="1">
      <w:start w:val="4"/>
      <w:numFmt w:val="decimal"/>
      <w:isLgl/>
      <w:lvlText w:val="%1.%2"/>
      <w:lvlJc w:val="left"/>
      <w:pPr>
        <w:ind w:left="72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A456E08"/>
    <w:multiLevelType w:val="hybridMultilevel"/>
    <w:tmpl w:val="9318ADF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C2F681A"/>
    <w:multiLevelType w:val="hybridMultilevel"/>
    <w:tmpl w:val="F7865C5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7F0B2D83"/>
    <w:multiLevelType w:val="hybridMultilevel"/>
    <w:tmpl w:val="73CA6DA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1"/>
  </w:num>
  <w:num w:numId="2">
    <w:abstractNumId w:val="18"/>
  </w:num>
  <w:num w:numId="3">
    <w:abstractNumId w:val="2"/>
  </w:num>
  <w:num w:numId="4">
    <w:abstractNumId w:val="20"/>
  </w:num>
  <w:num w:numId="5">
    <w:abstractNumId w:val="14"/>
  </w:num>
  <w:num w:numId="6">
    <w:abstractNumId w:val="21"/>
  </w:num>
  <w:num w:numId="7">
    <w:abstractNumId w:val="13"/>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10"/>
  </w:num>
  <w:num w:numId="11">
    <w:abstractNumId w:val="4"/>
  </w:num>
  <w:num w:numId="12">
    <w:abstractNumId w:val="26"/>
  </w:num>
  <w:num w:numId="13">
    <w:abstractNumId w:val="17"/>
  </w:num>
  <w:num w:numId="14">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15">
    <w:abstractNumId w:val="3"/>
  </w:num>
  <w:num w:numId="16">
    <w:abstractNumId w:val="27"/>
  </w:num>
  <w:num w:numId="17">
    <w:abstractNumId w:val="25"/>
  </w:num>
  <w:num w:numId="18">
    <w:abstractNumId w:val="19"/>
  </w:num>
  <w:num w:numId="19">
    <w:abstractNumId w:val="7"/>
  </w:num>
  <w:num w:numId="20">
    <w:abstractNumId w:val="9"/>
  </w:num>
  <w:num w:numId="21">
    <w:abstractNumId w:val="0"/>
  </w:num>
  <w:num w:numId="22">
    <w:abstractNumId w:val="0"/>
  </w:num>
  <w:num w:numId="23">
    <w:abstractNumId w:val="0"/>
  </w:num>
  <w:num w:numId="24">
    <w:abstractNumId w:val="0"/>
  </w:num>
  <w:num w:numId="25">
    <w:abstractNumId w:val="0"/>
  </w:num>
  <w:num w:numId="26">
    <w:abstractNumId w:val="0"/>
  </w:num>
  <w:num w:numId="27">
    <w:abstractNumId w:val="8"/>
  </w:num>
  <w:num w:numId="28">
    <w:abstractNumId w:val="0"/>
  </w:num>
  <w:num w:numId="29">
    <w:abstractNumId w:val="23"/>
  </w:num>
  <w:num w:numId="30">
    <w:abstractNumId w:val="11"/>
  </w:num>
  <w:num w:numId="31">
    <w:abstractNumId w:val="12"/>
  </w:num>
  <w:num w:numId="32">
    <w:abstractNumId w:val="0"/>
  </w:num>
  <w:num w:numId="33">
    <w:abstractNumId w:val="16"/>
  </w:num>
  <w:num w:numId="34">
    <w:abstractNumId w:val="28"/>
  </w:num>
  <w:num w:numId="35">
    <w:abstractNumId w:val="29"/>
  </w:num>
  <w:num w:numId="36">
    <w:abstractNumId w:val="5"/>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87"/>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BB2"/>
    <w:rsid w:val="0000797E"/>
    <w:rsid w:val="00011DAE"/>
    <w:rsid w:val="000168FC"/>
    <w:rsid w:val="0002458C"/>
    <w:rsid w:val="00051794"/>
    <w:rsid w:val="00056A9E"/>
    <w:rsid w:val="00063BC1"/>
    <w:rsid w:val="000725DA"/>
    <w:rsid w:val="0007471C"/>
    <w:rsid w:val="00081AF5"/>
    <w:rsid w:val="00084417"/>
    <w:rsid w:val="0008784E"/>
    <w:rsid w:val="000A0B89"/>
    <w:rsid w:val="000A502F"/>
    <w:rsid w:val="000A53A3"/>
    <w:rsid w:val="000B0F6A"/>
    <w:rsid w:val="000C15E0"/>
    <w:rsid w:val="000C592E"/>
    <w:rsid w:val="000D3002"/>
    <w:rsid w:val="000D3758"/>
    <w:rsid w:val="000D6726"/>
    <w:rsid w:val="000D6C01"/>
    <w:rsid w:val="000E1ACD"/>
    <w:rsid w:val="000E50F6"/>
    <w:rsid w:val="000E5F4F"/>
    <w:rsid w:val="000F19B9"/>
    <w:rsid w:val="001069D6"/>
    <w:rsid w:val="001173DB"/>
    <w:rsid w:val="00120D3B"/>
    <w:rsid w:val="00123D9C"/>
    <w:rsid w:val="001344D2"/>
    <w:rsid w:val="00135E7A"/>
    <w:rsid w:val="00136138"/>
    <w:rsid w:val="00142EB5"/>
    <w:rsid w:val="0015101D"/>
    <w:rsid w:val="001579F3"/>
    <w:rsid w:val="00163BA5"/>
    <w:rsid w:val="00163C5D"/>
    <w:rsid w:val="00182A53"/>
    <w:rsid w:val="00186B57"/>
    <w:rsid w:val="00192350"/>
    <w:rsid w:val="00193DDB"/>
    <w:rsid w:val="001942FC"/>
    <w:rsid w:val="00195B9D"/>
    <w:rsid w:val="001A4C35"/>
    <w:rsid w:val="001A50E7"/>
    <w:rsid w:val="001A7335"/>
    <w:rsid w:val="001C3290"/>
    <w:rsid w:val="001D6A18"/>
    <w:rsid w:val="001D6F0B"/>
    <w:rsid w:val="001E0025"/>
    <w:rsid w:val="002072A0"/>
    <w:rsid w:val="00213F4C"/>
    <w:rsid w:val="00241604"/>
    <w:rsid w:val="00241CD3"/>
    <w:rsid w:val="00243AEB"/>
    <w:rsid w:val="00244A54"/>
    <w:rsid w:val="002451E3"/>
    <w:rsid w:val="002627D5"/>
    <w:rsid w:val="00270DC1"/>
    <w:rsid w:val="00271488"/>
    <w:rsid w:val="00276657"/>
    <w:rsid w:val="00283EAC"/>
    <w:rsid w:val="0028569E"/>
    <w:rsid w:val="00285DEB"/>
    <w:rsid w:val="00287A17"/>
    <w:rsid w:val="002944E8"/>
    <w:rsid w:val="00295797"/>
    <w:rsid w:val="002A0909"/>
    <w:rsid w:val="002B0272"/>
    <w:rsid w:val="002B06D3"/>
    <w:rsid w:val="002B14BC"/>
    <w:rsid w:val="002B41A7"/>
    <w:rsid w:val="002D4869"/>
    <w:rsid w:val="002D5AC5"/>
    <w:rsid w:val="002D64FC"/>
    <w:rsid w:val="002D725B"/>
    <w:rsid w:val="002E01E7"/>
    <w:rsid w:val="002E2CD6"/>
    <w:rsid w:val="00300FE1"/>
    <w:rsid w:val="00314ACB"/>
    <w:rsid w:val="00320F51"/>
    <w:rsid w:val="00321801"/>
    <w:rsid w:val="0032456E"/>
    <w:rsid w:val="00330A28"/>
    <w:rsid w:val="0033121A"/>
    <w:rsid w:val="00331456"/>
    <w:rsid w:val="00332512"/>
    <w:rsid w:val="003379E0"/>
    <w:rsid w:val="00341AB3"/>
    <w:rsid w:val="003472CF"/>
    <w:rsid w:val="00361813"/>
    <w:rsid w:val="00364090"/>
    <w:rsid w:val="003827D5"/>
    <w:rsid w:val="003876ED"/>
    <w:rsid w:val="00391857"/>
    <w:rsid w:val="003969E5"/>
    <w:rsid w:val="003C43A1"/>
    <w:rsid w:val="003C786F"/>
    <w:rsid w:val="003D668E"/>
    <w:rsid w:val="003E4913"/>
    <w:rsid w:val="003F2983"/>
    <w:rsid w:val="003F3E4E"/>
    <w:rsid w:val="003F5D8B"/>
    <w:rsid w:val="003F6195"/>
    <w:rsid w:val="0040642A"/>
    <w:rsid w:val="0041153D"/>
    <w:rsid w:val="004130C9"/>
    <w:rsid w:val="00424E22"/>
    <w:rsid w:val="00435DDD"/>
    <w:rsid w:val="00436232"/>
    <w:rsid w:val="004432BA"/>
    <w:rsid w:val="00444122"/>
    <w:rsid w:val="004465E1"/>
    <w:rsid w:val="00450632"/>
    <w:rsid w:val="00452E86"/>
    <w:rsid w:val="00453583"/>
    <w:rsid w:val="0046298C"/>
    <w:rsid w:val="004818DE"/>
    <w:rsid w:val="004A4A29"/>
    <w:rsid w:val="004B0C25"/>
    <w:rsid w:val="004B16DF"/>
    <w:rsid w:val="004B224A"/>
    <w:rsid w:val="004B450C"/>
    <w:rsid w:val="004B6D7A"/>
    <w:rsid w:val="004B7743"/>
    <w:rsid w:val="004C401F"/>
    <w:rsid w:val="004D0385"/>
    <w:rsid w:val="004E4CC1"/>
    <w:rsid w:val="004E5F3F"/>
    <w:rsid w:val="004E710F"/>
    <w:rsid w:val="004F1074"/>
    <w:rsid w:val="004F6A9E"/>
    <w:rsid w:val="004F6F39"/>
    <w:rsid w:val="00505B37"/>
    <w:rsid w:val="00506772"/>
    <w:rsid w:val="00521071"/>
    <w:rsid w:val="005301DF"/>
    <w:rsid w:val="00531E8E"/>
    <w:rsid w:val="00533DC5"/>
    <w:rsid w:val="0053458B"/>
    <w:rsid w:val="00542B5C"/>
    <w:rsid w:val="00545556"/>
    <w:rsid w:val="00545909"/>
    <w:rsid w:val="005514F0"/>
    <w:rsid w:val="005530FE"/>
    <w:rsid w:val="005537B3"/>
    <w:rsid w:val="005669FD"/>
    <w:rsid w:val="00574FC9"/>
    <w:rsid w:val="005867D2"/>
    <w:rsid w:val="005925EB"/>
    <w:rsid w:val="005941DF"/>
    <w:rsid w:val="00595341"/>
    <w:rsid w:val="00595558"/>
    <w:rsid w:val="005B7215"/>
    <w:rsid w:val="005C4E3F"/>
    <w:rsid w:val="005D13E3"/>
    <w:rsid w:val="005D2BAF"/>
    <w:rsid w:val="005D308F"/>
    <w:rsid w:val="005E1832"/>
    <w:rsid w:val="005F3C9F"/>
    <w:rsid w:val="00603518"/>
    <w:rsid w:val="00603745"/>
    <w:rsid w:val="00605645"/>
    <w:rsid w:val="00612663"/>
    <w:rsid w:val="00624758"/>
    <w:rsid w:val="00627316"/>
    <w:rsid w:val="00630F1C"/>
    <w:rsid w:val="0063300F"/>
    <w:rsid w:val="00671996"/>
    <w:rsid w:val="00680CE0"/>
    <w:rsid w:val="00683E26"/>
    <w:rsid w:val="006A3B98"/>
    <w:rsid w:val="006B1859"/>
    <w:rsid w:val="006B1866"/>
    <w:rsid w:val="006B61B0"/>
    <w:rsid w:val="006B6219"/>
    <w:rsid w:val="006C253F"/>
    <w:rsid w:val="006C61DC"/>
    <w:rsid w:val="006D17CB"/>
    <w:rsid w:val="006D6CFA"/>
    <w:rsid w:val="006E6C90"/>
    <w:rsid w:val="006F27D1"/>
    <w:rsid w:val="006F6DD2"/>
    <w:rsid w:val="00703313"/>
    <w:rsid w:val="00727DAA"/>
    <w:rsid w:val="00751F55"/>
    <w:rsid w:val="0075647E"/>
    <w:rsid w:val="00757987"/>
    <w:rsid w:val="00766611"/>
    <w:rsid w:val="0077395F"/>
    <w:rsid w:val="007749AE"/>
    <w:rsid w:val="0078238B"/>
    <w:rsid w:val="007A48A6"/>
    <w:rsid w:val="007B4589"/>
    <w:rsid w:val="007E24A1"/>
    <w:rsid w:val="007E5FF0"/>
    <w:rsid w:val="007F43F3"/>
    <w:rsid w:val="007F6E90"/>
    <w:rsid w:val="00800452"/>
    <w:rsid w:val="00801CD9"/>
    <w:rsid w:val="0080317B"/>
    <w:rsid w:val="008060EE"/>
    <w:rsid w:val="00813D07"/>
    <w:rsid w:val="00814D0B"/>
    <w:rsid w:val="008306B9"/>
    <w:rsid w:val="008379D3"/>
    <w:rsid w:val="00843B89"/>
    <w:rsid w:val="00845CFF"/>
    <w:rsid w:val="00857118"/>
    <w:rsid w:val="00861F25"/>
    <w:rsid w:val="00862D24"/>
    <w:rsid w:val="00871C15"/>
    <w:rsid w:val="00875AC3"/>
    <w:rsid w:val="00876105"/>
    <w:rsid w:val="00880EEF"/>
    <w:rsid w:val="00881ED9"/>
    <w:rsid w:val="00882413"/>
    <w:rsid w:val="00890F92"/>
    <w:rsid w:val="00891FD0"/>
    <w:rsid w:val="008A353E"/>
    <w:rsid w:val="008C3B45"/>
    <w:rsid w:val="008E5CA9"/>
    <w:rsid w:val="008E6E87"/>
    <w:rsid w:val="008F2550"/>
    <w:rsid w:val="008F5FED"/>
    <w:rsid w:val="00904CE4"/>
    <w:rsid w:val="009076A0"/>
    <w:rsid w:val="00907D31"/>
    <w:rsid w:val="0091350D"/>
    <w:rsid w:val="0091553E"/>
    <w:rsid w:val="00924CC8"/>
    <w:rsid w:val="00930AA5"/>
    <w:rsid w:val="00941842"/>
    <w:rsid w:val="00943B20"/>
    <w:rsid w:val="00944FE1"/>
    <w:rsid w:val="00955BB2"/>
    <w:rsid w:val="0096104F"/>
    <w:rsid w:val="00964CA3"/>
    <w:rsid w:val="009743F5"/>
    <w:rsid w:val="009809D1"/>
    <w:rsid w:val="0099159B"/>
    <w:rsid w:val="00995046"/>
    <w:rsid w:val="009B622D"/>
    <w:rsid w:val="009C7117"/>
    <w:rsid w:val="009D2598"/>
    <w:rsid w:val="009E0669"/>
    <w:rsid w:val="00A0094C"/>
    <w:rsid w:val="00A1197A"/>
    <w:rsid w:val="00A15CC9"/>
    <w:rsid w:val="00A26D96"/>
    <w:rsid w:val="00A31909"/>
    <w:rsid w:val="00A333AF"/>
    <w:rsid w:val="00A65258"/>
    <w:rsid w:val="00A67961"/>
    <w:rsid w:val="00A74CEE"/>
    <w:rsid w:val="00A92DE7"/>
    <w:rsid w:val="00A94E58"/>
    <w:rsid w:val="00A951C4"/>
    <w:rsid w:val="00A95A99"/>
    <w:rsid w:val="00A95E77"/>
    <w:rsid w:val="00AA2C8D"/>
    <w:rsid w:val="00AA5B60"/>
    <w:rsid w:val="00AB743A"/>
    <w:rsid w:val="00AC3579"/>
    <w:rsid w:val="00AD0D04"/>
    <w:rsid w:val="00AD0D06"/>
    <w:rsid w:val="00AD1FA4"/>
    <w:rsid w:val="00AD41E1"/>
    <w:rsid w:val="00AD6C00"/>
    <w:rsid w:val="00AE7CBB"/>
    <w:rsid w:val="00B0664C"/>
    <w:rsid w:val="00B155AE"/>
    <w:rsid w:val="00B22583"/>
    <w:rsid w:val="00B22626"/>
    <w:rsid w:val="00B22E9D"/>
    <w:rsid w:val="00B2321F"/>
    <w:rsid w:val="00B24A94"/>
    <w:rsid w:val="00B279F9"/>
    <w:rsid w:val="00B32169"/>
    <w:rsid w:val="00B33504"/>
    <w:rsid w:val="00B335B8"/>
    <w:rsid w:val="00B375FF"/>
    <w:rsid w:val="00B406D0"/>
    <w:rsid w:val="00B4177A"/>
    <w:rsid w:val="00B45EEA"/>
    <w:rsid w:val="00B730FC"/>
    <w:rsid w:val="00B7575B"/>
    <w:rsid w:val="00B907FB"/>
    <w:rsid w:val="00B91D30"/>
    <w:rsid w:val="00B96DFF"/>
    <w:rsid w:val="00BA63EA"/>
    <w:rsid w:val="00BB4489"/>
    <w:rsid w:val="00BC3024"/>
    <w:rsid w:val="00BC6C71"/>
    <w:rsid w:val="00BD2C02"/>
    <w:rsid w:val="00BD46C1"/>
    <w:rsid w:val="00BD5A7E"/>
    <w:rsid w:val="00BD7AAB"/>
    <w:rsid w:val="00BE167C"/>
    <w:rsid w:val="00BF36D1"/>
    <w:rsid w:val="00C07E4D"/>
    <w:rsid w:val="00C25955"/>
    <w:rsid w:val="00C31506"/>
    <w:rsid w:val="00C3170E"/>
    <w:rsid w:val="00C33AF9"/>
    <w:rsid w:val="00C36FD2"/>
    <w:rsid w:val="00C40F5B"/>
    <w:rsid w:val="00C420AB"/>
    <w:rsid w:val="00C6622C"/>
    <w:rsid w:val="00C87031"/>
    <w:rsid w:val="00C93089"/>
    <w:rsid w:val="00C93C28"/>
    <w:rsid w:val="00C93F53"/>
    <w:rsid w:val="00C950B6"/>
    <w:rsid w:val="00CA488B"/>
    <w:rsid w:val="00CA6FEE"/>
    <w:rsid w:val="00CB504E"/>
    <w:rsid w:val="00CB5FD4"/>
    <w:rsid w:val="00CB7800"/>
    <w:rsid w:val="00CD54AC"/>
    <w:rsid w:val="00CD68BF"/>
    <w:rsid w:val="00CE01E0"/>
    <w:rsid w:val="00CE570C"/>
    <w:rsid w:val="00D031A7"/>
    <w:rsid w:val="00D13C50"/>
    <w:rsid w:val="00D31697"/>
    <w:rsid w:val="00D43C6E"/>
    <w:rsid w:val="00D514DB"/>
    <w:rsid w:val="00D666B2"/>
    <w:rsid w:val="00D679F8"/>
    <w:rsid w:val="00D67AAA"/>
    <w:rsid w:val="00D72A2B"/>
    <w:rsid w:val="00D743DF"/>
    <w:rsid w:val="00D74A9F"/>
    <w:rsid w:val="00D82DB6"/>
    <w:rsid w:val="00D85A2F"/>
    <w:rsid w:val="00DA4F40"/>
    <w:rsid w:val="00DB1A14"/>
    <w:rsid w:val="00DB72C5"/>
    <w:rsid w:val="00DC2F0B"/>
    <w:rsid w:val="00DC6EE3"/>
    <w:rsid w:val="00DD2495"/>
    <w:rsid w:val="00DD4066"/>
    <w:rsid w:val="00DE0F77"/>
    <w:rsid w:val="00E14C08"/>
    <w:rsid w:val="00E34586"/>
    <w:rsid w:val="00E3716A"/>
    <w:rsid w:val="00E4306C"/>
    <w:rsid w:val="00E55CA6"/>
    <w:rsid w:val="00E60399"/>
    <w:rsid w:val="00E66B5C"/>
    <w:rsid w:val="00E7078A"/>
    <w:rsid w:val="00E73911"/>
    <w:rsid w:val="00E80255"/>
    <w:rsid w:val="00E84947"/>
    <w:rsid w:val="00E84E02"/>
    <w:rsid w:val="00EB19D5"/>
    <w:rsid w:val="00EC0D68"/>
    <w:rsid w:val="00ED1931"/>
    <w:rsid w:val="00ED2A21"/>
    <w:rsid w:val="00ED52E3"/>
    <w:rsid w:val="00EE75C5"/>
    <w:rsid w:val="00F04721"/>
    <w:rsid w:val="00F05F31"/>
    <w:rsid w:val="00F23010"/>
    <w:rsid w:val="00F26D26"/>
    <w:rsid w:val="00F312CD"/>
    <w:rsid w:val="00F31C19"/>
    <w:rsid w:val="00F35C80"/>
    <w:rsid w:val="00F35D29"/>
    <w:rsid w:val="00F3673F"/>
    <w:rsid w:val="00F42F99"/>
    <w:rsid w:val="00F4325B"/>
    <w:rsid w:val="00F55D57"/>
    <w:rsid w:val="00F56EC9"/>
    <w:rsid w:val="00F613C1"/>
    <w:rsid w:val="00F618D6"/>
    <w:rsid w:val="00F636A1"/>
    <w:rsid w:val="00F640EC"/>
    <w:rsid w:val="00F6523C"/>
    <w:rsid w:val="00F7099E"/>
    <w:rsid w:val="00F76C4D"/>
    <w:rsid w:val="00F84920"/>
    <w:rsid w:val="00FA0566"/>
    <w:rsid w:val="00FA2AC6"/>
    <w:rsid w:val="00FA2E10"/>
    <w:rsid w:val="00FA486F"/>
    <w:rsid w:val="00FB051E"/>
    <w:rsid w:val="00FB0803"/>
    <w:rsid w:val="00FB4921"/>
    <w:rsid w:val="00FB4EE5"/>
    <w:rsid w:val="00FC640A"/>
    <w:rsid w:val="00FD181D"/>
    <w:rsid w:val="00FD4E9E"/>
    <w:rsid w:val="00FF05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3F90822"/>
  <w15:docId w15:val="{C916AFEC-FE9C-42DB-93C3-6A40D1F0A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F31"/>
    <w:pPr>
      <w:ind w:left="748" w:hanging="748"/>
    </w:pPr>
    <w:rPr>
      <w:rFonts w:ascii="Calibri" w:hAnsi="Calibri" w:cs="Arial"/>
      <w:sz w:val="24"/>
      <w:szCs w:val="24"/>
      <w:lang w:eastAsia="en-US"/>
    </w:rPr>
  </w:style>
  <w:style w:type="paragraph" w:styleId="Heading1">
    <w:name w:val="heading 1"/>
    <w:basedOn w:val="Normal"/>
    <w:next w:val="Normal"/>
    <w:qFormat/>
    <w:rsid w:val="00163C5D"/>
    <w:pPr>
      <w:keepNext/>
      <w:outlineLvl w:val="0"/>
    </w:pPr>
    <w:rPr>
      <w:rFonts w:ascii="Times New Roman" w:hAnsi="Times New Roman"/>
      <w:b/>
      <w:bCs/>
    </w:rPr>
  </w:style>
  <w:style w:type="paragraph" w:styleId="Heading2">
    <w:name w:val="heading 2"/>
    <w:basedOn w:val="Normal"/>
    <w:next w:val="Normal"/>
    <w:link w:val="Heading2Char"/>
    <w:uiPriority w:val="9"/>
    <w:semiHidden/>
    <w:unhideWhenUsed/>
    <w:qFormat/>
    <w:rsid w:val="004E5F3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63C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63C5D"/>
    <w:rPr>
      <w:rFonts w:ascii="Tahoma" w:hAnsi="Tahoma" w:cs="Tahoma"/>
      <w:sz w:val="16"/>
      <w:szCs w:val="16"/>
    </w:rPr>
  </w:style>
  <w:style w:type="paragraph" w:styleId="ListParagraph">
    <w:name w:val="List Paragraph"/>
    <w:basedOn w:val="Normal"/>
    <w:uiPriority w:val="34"/>
    <w:qFormat/>
    <w:rsid w:val="00A65258"/>
    <w:pPr>
      <w:ind w:left="720"/>
      <w:contextualSpacing/>
    </w:pPr>
  </w:style>
  <w:style w:type="paragraph" w:styleId="Header">
    <w:name w:val="header"/>
    <w:basedOn w:val="Normal"/>
    <w:link w:val="HeaderChar"/>
    <w:uiPriority w:val="99"/>
    <w:unhideWhenUsed/>
    <w:rsid w:val="00CA6FEE"/>
    <w:pPr>
      <w:tabs>
        <w:tab w:val="center" w:pos="4513"/>
        <w:tab w:val="right" w:pos="9026"/>
      </w:tabs>
    </w:pPr>
  </w:style>
  <w:style w:type="character" w:customStyle="1" w:styleId="HeaderChar">
    <w:name w:val="Header Char"/>
    <w:basedOn w:val="DefaultParagraphFont"/>
    <w:link w:val="Header"/>
    <w:uiPriority w:val="99"/>
    <w:rsid w:val="00CA6FEE"/>
    <w:rPr>
      <w:rFonts w:ascii="Calibri" w:hAnsi="Calibri" w:cs="Arial"/>
      <w:sz w:val="24"/>
      <w:szCs w:val="24"/>
      <w:lang w:eastAsia="en-US"/>
    </w:rPr>
  </w:style>
  <w:style w:type="paragraph" w:styleId="Footer">
    <w:name w:val="footer"/>
    <w:basedOn w:val="Normal"/>
    <w:link w:val="FooterChar"/>
    <w:uiPriority w:val="99"/>
    <w:unhideWhenUsed/>
    <w:rsid w:val="00CA6FEE"/>
    <w:pPr>
      <w:tabs>
        <w:tab w:val="center" w:pos="4513"/>
        <w:tab w:val="right" w:pos="9026"/>
      </w:tabs>
    </w:pPr>
  </w:style>
  <w:style w:type="character" w:customStyle="1" w:styleId="FooterChar">
    <w:name w:val="Footer Char"/>
    <w:basedOn w:val="DefaultParagraphFont"/>
    <w:link w:val="Footer"/>
    <w:uiPriority w:val="99"/>
    <w:rsid w:val="00CA6FEE"/>
    <w:rPr>
      <w:rFonts w:ascii="Calibri" w:hAnsi="Calibri" w:cs="Arial"/>
      <w:sz w:val="24"/>
      <w:szCs w:val="24"/>
      <w:lang w:eastAsia="en-US"/>
    </w:rPr>
  </w:style>
  <w:style w:type="character" w:customStyle="1" w:styleId="Heading2Char">
    <w:name w:val="Heading 2 Char"/>
    <w:basedOn w:val="DefaultParagraphFont"/>
    <w:link w:val="Heading2"/>
    <w:uiPriority w:val="9"/>
    <w:semiHidden/>
    <w:rsid w:val="004E5F3F"/>
    <w:rPr>
      <w:rFonts w:asciiTheme="majorHAnsi" w:eastAsiaTheme="majorEastAsia" w:hAnsiTheme="majorHAnsi" w:cstheme="majorBidi"/>
      <w:color w:val="365F91" w:themeColor="accent1" w:themeShade="BF"/>
      <w:sz w:val="26"/>
      <w:szCs w:val="26"/>
      <w:lang w:eastAsia="en-US"/>
    </w:rPr>
  </w:style>
  <w:style w:type="paragraph" w:styleId="NormalWeb">
    <w:name w:val="Normal (Web)"/>
    <w:basedOn w:val="Normal"/>
    <w:uiPriority w:val="99"/>
    <w:semiHidden/>
    <w:unhideWhenUsed/>
    <w:rsid w:val="004E5F3F"/>
    <w:pPr>
      <w:spacing w:before="100" w:beforeAutospacing="1" w:after="100" w:afterAutospacing="1"/>
      <w:ind w:left="0" w:firstLine="0"/>
    </w:pPr>
    <w:rPr>
      <w:rFonts w:ascii="Times New Roman" w:hAnsi="Times New Roman" w:cs="Times New Roman"/>
      <w:lang w:eastAsia="en-GB"/>
    </w:rPr>
  </w:style>
  <w:style w:type="character" w:customStyle="1" w:styleId="apple-converted-space">
    <w:name w:val="apple-converted-space"/>
    <w:basedOn w:val="DefaultParagraphFont"/>
    <w:rsid w:val="004E5F3F"/>
  </w:style>
  <w:style w:type="character" w:styleId="Hyperlink">
    <w:name w:val="Hyperlink"/>
    <w:basedOn w:val="DefaultParagraphFont"/>
    <w:uiPriority w:val="99"/>
    <w:unhideWhenUsed/>
    <w:rsid w:val="004E5F3F"/>
    <w:rPr>
      <w:color w:val="0000FF"/>
      <w:u w:val="single"/>
    </w:rPr>
  </w:style>
  <w:style w:type="paragraph" w:customStyle="1" w:styleId="backtotop">
    <w:name w:val="back_to_top"/>
    <w:basedOn w:val="Normal"/>
    <w:rsid w:val="004E5F3F"/>
    <w:pPr>
      <w:spacing w:before="100" w:beforeAutospacing="1" w:after="100" w:afterAutospacing="1"/>
      <w:ind w:left="0" w:firstLine="0"/>
    </w:pPr>
    <w:rPr>
      <w:rFonts w:ascii="Times New Roman" w:hAnsi="Times New Roman" w:cs="Times New Roman"/>
      <w:lang w:eastAsia="en-GB"/>
    </w:rPr>
  </w:style>
  <w:style w:type="character" w:styleId="CommentReference">
    <w:name w:val="annotation reference"/>
    <w:basedOn w:val="DefaultParagraphFont"/>
    <w:uiPriority w:val="99"/>
    <w:semiHidden/>
    <w:unhideWhenUsed/>
    <w:rsid w:val="008060EE"/>
    <w:rPr>
      <w:sz w:val="16"/>
      <w:szCs w:val="16"/>
    </w:rPr>
  </w:style>
  <w:style w:type="paragraph" w:styleId="CommentText">
    <w:name w:val="annotation text"/>
    <w:basedOn w:val="Normal"/>
    <w:link w:val="CommentTextChar"/>
    <w:uiPriority w:val="99"/>
    <w:semiHidden/>
    <w:unhideWhenUsed/>
    <w:rsid w:val="008060EE"/>
    <w:rPr>
      <w:sz w:val="20"/>
      <w:szCs w:val="20"/>
    </w:rPr>
  </w:style>
  <w:style w:type="character" w:customStyle="1" w:styleId="CommentTextChar">
    <w:name w:val="Comment Text Char"/>
    <w:basedOn w:val="DefaultParagraphFont"/>
    <w:link w:val="CommentText"/>
    <w:uiPriority w:val="99"/>
    <w:semiHidden/>
    <w:rsid w:val="008060EE"/>
    <w:rPr>
      <w:rFonts w:ascii="Calibri" w:hAnsi="Calibri" w:cs="Arial"/>
      <w:lang w:eastAsia="en-US"/>
    </w:rPr>
  </w:style>
  <w:style w:type="paragraph" w:styleId="CommentSubject">
    <w:name w:val="annotation subject"/>
    <w:basedOn w:val="CommentText"/>
    <w:next w:val="CommentText"/>
    <w:link w:val="CommentSubjectChar"/>
    <w:uiPriority w:val="99"/>
    <w:semiHidden/>
    <w:unhideWhenUsed/>
    <w:rsid w:val="008060EE"/>
    <w:rPr>
      <w:b/>
      <w:bCs/>
    </w:rPr>
  </w:style>
  <w:style w:type="character" w:customStyle="1" w:styleId="CommentSubjectChar">
    <w:name w:val="Comment Subject Char"/>
    <w:basedOn w:val="CommentTextChar"/>
    <w:link w:val="CommentSubject"/>
    <w:uiPriority w:val="99"/>
    <w:semiHidden/>
    <w:rsid w:val="008060EE"/>
    <w:rPr>
      <w:rFonts w:ascii="Calibri" w:hAnsi="Calibri" w:cs="Arial"/>
      <w:b/>
      <w:bCs/>
      <w:lang w:eastAsia="en-US"/>
    </w:rPr>
  </w:style>
  <w:style w:type="paragraph" w:customStyle="1" w:styleId="Committeetemplate">
    <w:name w:val="Committee template"/>
    <w:basedOn w:val="ListParagraph"/>
    <w:qFormat/>
    <w:rsid w:val="00D031A7"/>
    <w:pPr>
      <w:numPr>
        <w:numId w:val="21"/>
      </w:numPr>
      <w:spacing w:line="264" w:lineRule="auto"/>
    </w:pPr>
    <w:rPr>
      <w:rFonts w:ascii="Arial" w:hAnsi="Arial"/>
    </w:rPr>
  </w:style>
  <w:style w:type="table" w:styleId="PlainTable1">
    <w:name w:val="Plain Table 1"/>
    <w:basedOn w:val="TableNormal"/>
    <w:uiPriority w:val="41"/>
    <w:rsid w:val="008E5CA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9155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710565">
      <w:bodyDiv w:val="1"/>
      <w:marLeft w:val="0"/>
      <w:marRight w:val="0"/>
      <w:marTop w:val="0"/>
      <w:marBottom w:val="0"/>
      <w:divBdr>
        <w:top w:val="none" w:sz="0" w:space="0" w:color="auto"/>
        <w:left w:val="none" w:sz="0" w:space="0" w:color="auto"/>
        <w:bottom w:val="none" w:sz="0" w:space="0" w:color="auto"/>
        <w:right w:val="none" w:sz="0" w:space="0" w:color="auto"/>
      </w:divBdr>
    </w:div>
    <w:div w:id="285739074">
      <w:bodyDiv w:val="1"/>
      <w:marLeft w:val="0"/>
      <w:marRight w:val="0"/>
      <w:marTop w:val="0"/>
      <w:marBottom w:val="0"/>
      <w:divBdr>
        <w:top w:val="none" w:sz="0" w:space="0" w:color="auto"/>
        <w:left w:val="none" w:sz="0" w:space="0" w:color="auto"/>
        <w:bottom w:val="none" w:sz="0" w:space="0" w:color="auto"/>
        <w:right w:val="none" w:sz="0" w:space="0" w:color="auto"/>
      </w:divBdr>
    </w:div>
    <w:div w:id="357969415">
      <w:bodyDiv w:val="1"/>
      <w:marLeft w:val="0"/>
      <w:marRight w:val="0"/>
      <w:marTop w:val="0"/>
      <w:marBottom w:val="0"/>
      <w:divBdr>
        <w:top w:val="none" w:sz="0" w:space="0" w:color="auto"/>
        <w:left w:val="none" w:sz="0" w:space="0" w:color="auto"/>
        <w:bottom w:val="none" w:sz="0" w:space="0" w:color="auto"/>
        <w:right w:val="none" w:sz="0" w:space="0" w:color="auto"/>
      </w:divBdr>
    </w:div>
    <w:div w:id="1181504737">
      <w:bodyDiv w:val="1"/>
      <w:marLeft w:val="0"/>
      <w:marRight w:val="0"/>
      <w:marTop w:val="0"/>
      <w:marBottom w:val="0"/>
      <w:divBdr>
        <w:top w:val="none" w:sz="0" w:space="0" w:color="auto"/>
        <w:left w:val="none" w:sz="0" w:space="0" w:color="auto"/>
        <w:bottom w:val="none" w:sz="0" w:space="0" w:color="auto"/>
        <w:right w:val="none" w:sz="0" w:space="0" w:color="auto"/>
      </w:divBdr>
    </w:div>
    <w:div w:id="1337151929">
      <w:bodyDiv w:val="1"/>
      <w:marLeft w:val="0"/>
      <w:marRight w:val="0"/>
      <w:marTop w:val="0"/>
      <w:marBottom w:val="0"/>
      <w:divBdr>
        <w:top w:val="none" w:sz="0" w:space="0" w:color="auto"/>
        <w:left w:val="none" w:sz="0" w:space="0" w:color="auto"/>
        <w:bottom w:val="none" w:sz="0" w:space="0" w:color="auto"/>
        <w:right w:val="none" w:sz="0" w:space="0" w:color="auto"/>
      </w:divBdr>
    </w:div>
    <w:div w:id="1625040971">
      <w:bodyDiv w:val="1"/>
      <w:marLeft w:val="0"/>
      <w:marRight w:val="0"/>
      <w:marTop w:val="0"/>
      <w:marBottom w:val="0"/>
      <w:divBdr>
        <w:top w:val="none" w:sz="0" w:space="0" w:color="auto"/>
        <w:left w:val="none" w:sz="0" w:space="0" w:color="auto"/>
        <w:bottom w:val="none" w:sz="0" w:space="0" w:color="auto"/>
        <w:right w:val="none" w:sz="0" w:space="0" w:color="auto"/>
      </w:divBdr>
    </w:div>
    <w:div w:id="1789468534">
      <w:bodyDiv w:val="1"/>
      <w:marLeft w:val="0"/>
      <w:marRight w:val="0"/>
      <w:marTop w:val="0"/>
      <w:marBottom w:val="0"/>
      <w:divBdr>
        <w:top w:val="none" w:sz="0" w:space="0" w:color="auto"/>
        <w:left w:val="none" w:sz="0" w:space="0" w:color="auto"/>
        <w:bottom w:val="none" w:sz="0" w:space="0" w:color="auto"/>
        <w:right w:val="none" w:sz="0" w:space="0" w:color="auto"/>
      </w:divBdr>
    </w:div>
    <w:div w:id="1832210667">
      <w:bodyDiv w:val="1"/>
      <w:marLeft w:val="0"/>
      <w:marRight w:val="0"/>
      <w:marTop w:val="0"/>
      <w:marBottom w:val="0"/>
      <w:divBdr>
        <w:top w:val="none" w:sz="0" w:space="0" w:color="auto"/>
        <w:left w:val="none" w:sz="0" w:space="0" w:color="auto"/>
        <w:bottom w:val="none" w:sz="0" w:space="0" w:color="auto"/>
        <w:right w:val="none" w:sz="0" w:space="0" w:color="auto"/>
      </w:divBdr>
    </w:div>
    <w:div w:id="1894658684">
      <w:bodyDiv w:val="1"/>
      <w:marLeft w:val="0"/>
      <w:marRight w:val="0"/>
      <w:marTop w:val="0"/>
      <w:marBottom w:val="0"/>
      <w:divBdr>
        <w:top w:val="none" w:sz="0" w:space="0" w:color="auto"/>
        <w:left w:val="none" w:sz="0" w:space="0" w:color="auto"/>
        <w:bottom w:val="none" w:sz="0" w:space="0" w:color="auto"/>
        <w:right w:val="none" w:sz="0" w:space="0" w:color="auto"/>
      </w:divBdr>
    </w:div>
    <w:div w:id="1996448728">
      <w:bodyDiv w:val="1"/>
      <w:marLeft w:val="0"/>
      <w:marRight w:val="0"/>
      <w:marTop w:val="0"/>
      <w:marBottom w:val="0"/>
      <w:divBdr>
        <w:top w:val="none" w:sz="0" w:space="0" w:color="auto"/>
        <w:left w:val="none" w:sz="0" w:space="0" w:color="auto"/>
        <w:bottom w:val="none" w:sz="0" w:space="0" w:color="auto"/>
        <w:right w:val="none" w:sz="0" w:space="0" w:color="auto"/>
      </w:divBdr>
    </w:div>
    <w:div w:id="2119138421">
      <w:bodyDiv w:val="1"/>
      <w:marLeft w:val="0"/>
      <w:marRight w:val="0"/>
      <w:marTop w:val="0"/>
      <w:marBottom w:val="0"/>
      <w:divBdr>
        <w:top w:val="none" w:sz="0" w:space="0" w:color="auto"/>
        <w:left w:val="none" w:sz="0" w:space="0" w:color="auto"/>
        <w:bottom w:val="none" w:sz="0" w:space="0" w:color="auto"/>
        <w:right w:val="none" w:sz="0" w:space="0" w:color="auto"/>
      </w:divBdr>
    </w:div>
    <w:div w:id="213439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cilly.gov.uk/sites/default/files/document/planning/smp2.pdf"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ssets.publishing.service.gov.uk/government/uploads/system/uploads/attachment_data/file/995761/FINAL_South_West_Technical_Annex.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sets.publishing.service.gov.uk/government/uploads/system/uploads/attachment_data/file/1004494/FINAL_South_West_Marine_Plan__1_.pdf" TargetMode="External"/><Relationship Id="rId5" Type="http://schemas.openxmlformats.org/officeDocument/2006/relationships/webSettings" Target="webSettings.xml"/><Relationship Id="rId15" Type="http://schemas.openxmlformats.org/officeDocument/2006/relationships/hyperlink" Target="https://www.gov.uk/guidance/use-of-planning-conditions" TargetMode="External"/><Relationship Id="rId10" Type="http://schemas.openxmlformats.org/officeDocument/2006/relationships/hyperlink" Target="https://www.scilly.gov.uk/planning/planning-policy/local-plan-2015-2030-adopted/adoption-local-plan-2015-2030-regulation-26"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cilly.gov.uk/planning-application/planning-application-p21050ful" TargetMode="External"/><Relationship Id="rId14" Type="http://schemas.openxmlformats.org/officeDocument/2006/relationships/hyperlink" Target="http://13097e80-9f1e-480f-9703-b1ffff1ec62e.filesusr.com/ugd/f2ee4f_aea237417ab7471e9d656515a7201e1f.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Y:\Collaborative%20Workspace\Council%20&amp;%20Committee%20Reports\Full%20Council\Committee%20repor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2744A2-58FF-487F-BD89-DDE9AFE89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report template</Template>
  <TotalTime>664</TotalTime>
  <Pages>22</Pages>
  <Words>8479</Words>
  <Characters>47061</Characters>
  <Application>Microsoft Office Word</Application>
  <DocSecurity>0</DocSecurity>
  <Lines>1206</Lines>
  <Paragraphs>487</Paragraphs>
  <ScaleCrop>false</ScaleCrop>
  <HeadingPairs>
    <vt:vector size="2" baseType="variant">
      <vt:variant>
        <vt:lpstr>Title</vt:lpstr>
      </vt:variant>
      <vt:variant>
        <vt:i4>1</vt:i4>
      </vt:variant>
    </vt:vector>
  </HeadingPairs>
  <TitlesOfParts>
    <vt:vector size="1" baseType="lpstr">
      <vt:lpstr>NOTE: NOT FOR PUBLICATION BY VIRTUE OF PARAGRAPH *** OF PART I OF THE LOCAL GOVERNMENT ACT 1972</vt:lpstr>
    </vt:vector>
  </TitlesOfParts>
  <Company>CIOS</Company>
  <LinksUpToDate>false</LinksUpToDate>
  <CharactersWithSpaces>55053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NOT FOR PUBLICATION BY VIRTUE OF PARAGRAPH *** OF PART I OF THE LOCAL GOVERNMENT ACT 1972</dc:title>
  <dc:creator>Walton Lisa</dc:creator>
  <cp:lastModifiedBy>Lisa Walton</cp:lastModifiedBy>
  <cp:revision>21</cp:revision>
  <cp:lastPrinted>2018-02-06T10:03:00Z</cp:lastPrinted>
  <dcterms:created xsi:type="dcterms:W3CDTF">2021-08-24T13:55:00Z</dcterms:created>
  <dcterms:modified xsi:type="dcterms:W3CDTF">2021-10-11T15:41:00Z</dcterms:modified>
</cp:coreProperties>
</file>